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153AD" w14:textId="77777777" w:rsidR="00D40EF5" w:rsidRPr="00131C50" w:rsidRDefault="00D40EF5" w:rsidP="00D40EF5">
      <w:pPr>
        <w:rPr>
          <w:rFonts w:ascii="Arial" w:hAnsi="Arial" w:cs="Arial"/>
          <w:sz w:val="24"/>
          <w:szCs w:val="24"/>
        </w:rPr>
      </w:pPr>
      <w:r w:rsidRPr="00131C50">
        <w:rPr>
          <w:rFonts w:ascii="Arial" w:hAnsi="Arial" w:cs="Arial"/>
          <w:noProof/>
          <w:sz w:val="24"/>
          <w:szCs w:val="24"/>
        </w:rPr>
        <mc:AlternateContent>
          <mc:Choice Requires="wps">
            <w:drawing>
              <wp:anchor distT="0" distB="0" distL="114300" distR="114300" simplePos="0" relativeHeight="251661312" behindDoc="0" locked="0" layoutInCell="1" allowOverlap="1" wp14:anchorId="314750CC" wp14:editId="17F35F54">
                <wp:simplePos x="0" y="0"/>
                <wp:positionH relativeFrom="column">
                  <wp:posOffset>0</wp:posOffset>
                </wp:positionH>
                <wp:positionV relativeFrom="paragraph">
                  <wp:posOffset>338455</wp:posOffset>
                </wp:positionV>
                <wp:extent cx="5483860" cy="6524625"/>
                <wp:effectExtent l="0" t="0" r="21590" b="28575"/>
                <wp:wrapTopAndBottom/>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3860" cy="6524625"/>
                        </a:xfrm>
                        <a:prstGeom prst="rect">
                          <a:avLst/>
                        </a:prstGeom>
                        <a:solidFill>
                          <a:schemeClr val="bg1"/>
                        </a:solidFill>
                        <a:ln w="9525">
                          <a:solidFill>
                            <a:srgbClr val="000000"/>
                          </a:solidFill>
                          <a:miter lim="800000"/>
                          <a:headEnd/>
                          <a:tailEnd/>
                        </a:ln>
                      </wps:spPr>
                      <wps:txbx>
                        <w:txbxContent>
                          <w:p w14:paraId="78069AF9" w14:textId="77777777" w:rsidR="00D40EF5" w:rsidRDefault="00D40EF5" w:rsidP="00D40EF5">
                            <w:pPr>
                              <w:ind w:left="1134" w:right="1379"/>
                              <w:jc w:val="center"/>
                              <w:rPr>
                                <w:rFonts w:eastAsia="Arial Unicode MS" w:cs="Arial"/>
                                <w:b/>
                              </w:rPr>
                            </w:pPr>
                          </w:p>
                          <w:p w14:paraId="30743027" w14:textId="77777777" w:rsidR="00D40EF5" w:rsidRDefault="00D40EF5" w:rsidP="00D40EF5">
                            <w:pPr>
                              <w:jc w:val="center"/>
                              <w:rPr>
                                <w:rFonts w:eastAsia="Arial Unicode MS" w:cs="Arial"/>
                                <w:b/>
                              </w:rPr>
                            </w:pPr>
                          </w:p>
                          <w:p w14:paraId="74681F02" w14:textId="77777777" w:rsidR="00D40EF5" w:rsidRDefault="00D40EF5" w:rsidP="00D40EF5">
                            <w:pPr>
                              <w:jc w:val="center"/>
                              <w:rPr>
                                <w:rFonts w:eastAsia="Arial Unicode MS" w:cs="Arial"/>
                                <w:b/>
                              </w:rPr>
                            </w:pPr>
                          </w:p>
                          <w:p w14:paraId="7D435F1C" w14:textId="736D9109" w:rsidR="007B30ED" w:rsidRDefault="007B30ED" w:rsidP="007B30ED">
                            <w:pPr>
                              <w:jc w:val="center"/>
                              <w:rPr>
                                <w:rFonts w:ascii="Arial" w:hAnsi="Arial" w:cs="Arial"/>
                                <w:b/>
                                <w:sz w:val="32"/>
                                <w:szCs w:val="32"/>
                              </w:rPr>
                            </w:pPr>
                            <w:r>
                              <w:rPr>
                                <w:rFonts w:ascii="Arial" w:hAnsi="Arial" w:cs="Arial" w:hint="eastAsia"/>
                                <w:b/>
                                <w:sz w:val="32"/>
                                <w:szCs w:val="32"/>
                              </w:rPr>
                              <w:t>AS0046</w:t>
                            </w:r>
                          </w:p>
                          <w:p w14:paraId="444BC587" w14:textId="77777777" w:rsidR="007B30ED" w:rsidRDefault="007B30ED" w:rsidP="007B30ED">
                            <w:pPr>
                              <w:jc w:val="center"/>
                              <w:rPr>
                                <w:rFonts w:ascii="Arial" w:hAnsi="Arial" w:cs="Arial"/>
                                <w:b/>
                                <w:sz w:val="32"/>
                                <w:szCs w:val="32"/>
                              </w:rPr>
                            </w:pPr>
                            <w:r w:rsidRPr="007B30ED">
                              <w:rPr>
                                <w:rFonts w:ascii="Arial" w:hAnsi="Arial" w:cs="Arial"/>
                                <w:b/>
                                <w:sz w:val="32"/>
                                <w:szCs w:val="32"/>
                              </w:rPr>
                              <w:t xml:space="preserve">ANTI-SUBSIDY INVESTIGATION CONCERNING IMPORTS OF CERTAIN EXCAVATORS </w:t>
                            </w:r>
                          </w:p>
                          <w:p w14:paraId="17A40182" w14:textId="4D62044C" w:rsidR="007B30ED" w:rsidRPr="007B30ED" w:rsidRDefault="007B30ED" w:rsidP="007B30ED">
                            <w:pPr>
                              <w:jc w:val="center"/>
                              <w:rPr>
                                <w:rFonts w:ascii="Arial" w:hAnsi="Arial" w:cs="Arial"/>
                                <w:b/>
                                <w:sz w:val="32"/>
                                <w:szCs w:val="32"/>
                              </w:rPr>
                            </w:pPr>
                            <w:r w:rsidRPr="007B30ED">
                              <w:rPr>
                                <w:rFonts w:ascii="Arial" w:hAnsi="Arial" w:cs="Arial"/>
                                <w:b/>
                                <w:sz w:val="32"/>
                                <w:szCs w:val="32"/>
                              </w:rPr>
                              <w:t>ORIGINATING IN</w:t>
                            </w:r>
                          </w:p>
                          <w:p w14:paraId="09DAA6AE" w14:textId="77777777" w:rsidR="007B30ED" w:rsidRPr="007B30ED" w:rsidRDefault="007B30ED" w:rsidP="007B30ED">
                            <w:pPr>
                              <w:jc w:val="center"/>
                              <w:rPr>
                                <w:rFonts w:ascii="Arial" w:hAnsi="Arial" w:cs="Arial"/>
                                <w:b/>
                                <w:sz w:val="32"/>
                                <w:szCs w:val="32"/>
                              </w:rPr>
                            </w:pPr>
                            <w:r w:rsidRPr="007B30ED">
                              <w:rPr>
                                <w:rFonts w:ascii="Arial" w:hAnsi="Arial" w:cs="Arial"/>
                                <w:b/>
                                <w:sz w:val="32"/>
                                <w:szCs w:val="32"/>
                              </w:rPr>
                              <w:t>THE PEOPLE’S REPUBLIC OF CHINA</w:t>
                            </w:r>
                          </w:p>
                          <w:p w14:paraId="4B302EF8" w14:textId="24391B82" w:rsidR="00D40EF5" w:rsidRPr="002D7D87" w:rsidRDefault="00D40EF5" w:rsidP="007B30ED">
                            <w:pPr>
                              <w:jc w:val="center"/>
                              <w:rPr>
                                <w:rFonts w:ascii="Arial" w:hAnsi="Arial" w:cs="Arial"/>
                                <w:b/>
                                <w:color w:val="FFFFFF" w:themeColor="background1"/>
                                <w:sz w:val="32"/>
                                <w:szCs w:val="32"/>
                              </w:rPr>
                            </w:pPr>
                          </w:p>
                          <w:p w14:paraId="53B20D5A" w14:textId="77777777" w:rsidR="00D40EF5" w:rsidRPr="002D7D87" w:rsidRDefault="00D40EF5" w:rsidP="00D40EF5">
                            <w:pPr>
                              <w:jc w:val="center"/>
                              <w:rPr>
                                <w:rFonts w:ascii="Arial" w:hAnsi="Arial" w:cs="Arial"/>
                                <w:b/>
                                <w:sz w:val="32"/>
                                <w:szCs w:val="32"/>
                              </w:rPr>
                            </w:pPr>
                          </w:p>
                          <w:p w14:paraId="70B71500" w14:textId="77777777" w:rsidR="00D40EF5" w:rsidRPr="002D7D87" w:rsidRDefault="00D40EF5" w:rsidP="00D40EF5">
                            <w:pPr>
                              <w:jc w:val="center"/>
                              <w:rPr>
                                <w:rFonts w:ascii="Arial" w:hAnsi="Arial" w:cs="Arial"/>
                                <w:b/>
                                <w:sz w:val="32"/>
                                <w:szCs w:val="32"/>
                              </w:rPr>
                            </w:pPr>
                          </w:p>
                          <w:p w14:paraId="7BB17C27" w14:textId="4073C4E1" w:rsidR="00B12166" w:rsidRPr="007B30ED" w:rsidRDefault="00B12166" w:rsidP="00D40EF5">
                            <w:pPr>
                              <w:jc w:val="center"/>
                              <w:rPr>
                                <w:rFonts w:ascii="Arial" w:hAnsi="Arial" w:cs="Arial"/>
                                <w:b/>
                                <w:sz w:val="32"/>
                                <w:szCs w:val="32"/>
                              </w:rPr>
                            </w:pPr>
                            <w:r w:rsidRPr="007B30ED">
                              <w:rPr>
                                <w:rFonts w:ascii="Arial" w:hAnsi="Arial" w:cs="Arial"/>
                                <w:b/>
                                <w:sz w:val="32"/>
                                <w:szCs w:val="32"/>
                              </w:rPr>
                              <w:t xml:space="preserve">COMMENTS </w:t>
                            </w:r>
                            <w:r w:rsidR="007B30ED" w:rsidRPr="007B30ED">
                              <w:rPr>
                                <w:rFonts w:ascii="Arial" w:hAnsi="Arial" w:cs="Arial" w:hint="eastAsia"/>
                                <w:b/>
                                <w:sz w:val="32"/>
                                <w:szCs w:val="32"/>
                              </w:rPr>
                              <w:t>ON</w:t>
                            </w:r>
                            <w:r w:rsidRPr="007B30ED">
                              <w:rPr>
                                <w:rFonts w:ascii="Arial" w:hAnsi="Arial" w:cs="Arial"/>
                                <w:b/>
                                <w:sz w:val="32"/>
                                <w:szCs w:val="32"/>
                              </w:rPr>
                              <w:t xml:space="preserve"> THE </w:t>
                            </w:r>
                            <w:r w:rsidR="007B30ED" w:rsidRPr="007B30ED">
                              <w:rPr>
                                <w:rFonts w:ascii="Arial" w:hAnsi="Arial" w:cs="Arial" w:hint="eastAsia"/>
                                <w:b/>
                                <w:sz w:val="32"/>
                                <w:szCs w:val="32"/>
                              </w:rPr>
                              <w:t>APPLICATION</w:t>
                            </w:r>
                          </w:p>
                          <w:p w14:paraId="189B0DDB" w14:textId="62E37E17" w:rsidR="00C91793" w:rsidRDefault="00B12166" w:rsidP="00CC6DC5">
                            <w:pPr>
                              <w:jc w:val="center"/>
                              <w:rPr>
                                <w:rFonts w:ascii="Arial" w:hAnsi="Arial" w:cs="Arial"/>
                                <w:b/>
                                <w:sz w:val="32"/>
                                <w:szCs w:val="32"/>
                              </w:rPr>
                            </w:pPr>
                            <w:r w:rsidRPr="00B12166">
                              <w:rPr>
                                <w:rFonts w:ascii="Arial" w:hAnsi="Arial" w:cs="Arial"/>
                                <w:b/>
                                <w:sz w:val="32"/>
                                <w:szCs w:val="32"/>
                              </w:rPr>
                              <w:t>OF TH</w:t>
                            </w:r>
                            <w:r>
                              <w:rPr>
                                <w:rFonts w:ascii="Arial" w:hAnsi="Arial" w:cs="Arial"/>
                                <w:b/>
                                <w:sz w:val="32"/>
                                <w:szCs w:val="32"/>
                              </w:rPr>
                              <w:t xml:space="preserve">E </w:t>
                            </w:r>
                            <w:r w:rsidR="00D40EF5" w:rsidRPr="002D7D87">
                              <w:rPr>
                                <w:rFonts w:ascii="Arial" w:hAnsi="Arial" w:cs="Arial"/>
                                <w:b/>
                                <w:sz w:val="32"/>
                                <w:szCs w:val="32"/>
                              </w:rPr>
                              <w:t xml:space="preserve">GOVERNMENT OF THE </w:t>
                            </w:r>
                          </w:p>
                          <w:p w14:paraId="38944FF3" w14:textId="7E122179" w:rsidR="00D40EF5" w:rsidRPr="002D7D87" w:rsidRDefault="00D40EF5" w:rsidP="00D40EF5">
                            <w:pPr>
                              <w:spacing w:after="120"/>
                              <w:jc w:val="center"/>
                              <w:rPr>
                                <w:rFonts w:ascii="Arial" w:hAnsi="Arial" w:cs="Arial"/>
                                <w:b/>
                                <w:sz w:val="32"/>
                                <w:szCs w:val="32"/>
                              </w:rPr>
                            </w:pPr>
                            <w:r w:rsidRPr="002D7D87">
                              <w:rPr>
                                <w:rFonts w:ascii="Arial" w:hAnsi="Arial" w:cs="Arial"/>
                                <w:b/>
                                <w:sz w:val="32"/>
                                <w:szCs w:val="32"/>
                              </w:rPr>
                              <w:t>PEOPLE’S REPUBLIC OF CHINA</w:t>
                            </w:r>
                          </w:p>
                          <w:p w14:paraId="2CCBF060" w14:textId="77777777" w:rsidR="00D40EF5" w:rsidRPr="002D7D87" w:rsidRDefault="00D40EF5" w:rsidP="00D40EF5">
                            <w:pPr>
                              <w:jc w:val="center"/>
                              <w:rPr>
                                <w:rFonts w:ascii="Arial" w:hAnsi="Arial" w:cs="Arial"/>
                                <w:b/>
                                <w:sz w:val="32"/>
                                <w:szCs w:val="32"/>
                              </w:rPr>
                            </w:pPr>
                          </w:p>
                          <w:p w14:paraId="26D15736" w14:textId="77777777" w:rsidR="00D40EF5" w:rsidRPr="002D7D87" w:rsidRDefault="00D40EF5" w:rsidP="00D40EF5">
                            <w:pPr>
                              <w:jc w:val="center"/>
                              <w:rPr>
                                <w:rFonts w:ascii="Arial" w:hAnsi="Arial" w:cs="Arial"/>
                                <w:b/>
                                <w:sz w:val="32"/>
                                <w:szCs w:val="32"/>
                              </w:rPr>
                            </w:pPr>
                          </w:p>
                          <w:p w14:paraId="480B7F45" w14:textId="77777777" w:rsidR="00D40EF5" w:rsidRPr="002D7D87" w:rsidRDefault="00D40EF5" w:rsidP="00D40EF5">
                            <w:pPr>
                              <w:ind w:left="1134" w:right="1379"/>
                              <w:jc w:val="center"/>
                              <w:rPr>
                                <w:rFonts w:ascii="Arial" w:hAnsi="Arial" w:cs="Arial"/>
                                <w:b/>
                                <w:bCs/>
                                <w:sz w:val="32"/>
                                <w:szCs w:val="32"/>
                              </w:rPr>
                            </w:pPr>
                            <w:r>
                              <w:rPr>
                                <w:rFonts w:ascii="Arial" w:hAnsi="Arial" w:cs="Arial"/>
                                <w:b/>
                                <w:bCs/>
                                <w:sz w:val="32"/>
                                <w:szCs w:val="32"/>
                              </w:rPr>
                              <w:t>OPEN</w:t>
                            </w:r>
                            <w:r w:rsidRPr="002D7D87">
                              <w:rPr>
                                <w:rFonts w:ascii="Arial" w:hAnsi="Arial" w:cs="Arial"/>
                                <w:b/>
                                <w:bCs/>
                                <w:sz w:val="32"/>
                                <w:szCs w:val="32"/>
                              </w:rPr>
                              <w:t xml:space="preserve"> VERSION</w:t>
                            </w:r>
                          </w:p>
                          <w:p w14:paraId="7C1E4CEF" w14:textId="77777777" w:rsidR="00D40EF5" w:rsidRPr="002D7D87" w:rsidRDefault="00D40EF5" w:rsidP="00D40EF5">
                            <w:pPr>
                              <w:ind w:left="1134" w:right="1379"/>
                              <w:jc w:val="center"/>
                              <w:rPr>
                                <w:rFonts w:ascii="Arial" w:hAnsi="Arial" w:cs="Arial"/>
                                <w:b/>
                                <w:bCs/>
                                <w:sz w:val="32"/>
                                <w:szCs w:val="32"/>
                              </w:rPr>
                            </w:pPr>
                          </w:p>
                          <w:p w14:paraId="317A68FB" w14:textId="77777777" w:rsidR="00D40EF5" w:rsidRPr="002D7D87" w:rsidRDefault="00D40EF5" w:rsidP="00D40EF5">
                            <w:pPr>
                              <w:ind w:left="1134" w:right="1379"/>
                              <w:jc w:val="center"/>
                              <w:rPr>
                                <w:rFonts w:ascii="Arial" w:hAnsi="Arial" w:cs="Arial"/>
                                <w:b/>
                                <w:bCs/>
                                <w:sz w:val="32"/>
                                <w:szCs w:val="32"/>
                              </w:rPr>
                            </w:pPr>
                          </w:p>
                          <w:p w14:paraId="401A3E46" w14:textId="321942A0" w:rsidR="00D40EF5" w:rsidRPr="002D7D87" w:rsidRDefault="00D40EF5" w:rsidP="00D40EF5">
                            <w:pPr>
                              <w:jc w:val="center"/>
                              <w:rPr>
                                <w:rFonts w:ascii="Arial" w:hAnsi="Arial" w:cs="Arial"/>
                                <w:b/>
                                <w:bCs/>
                                <w:sz w:val="32"/>
                                <w:szCs w:val="32"/>
                              </w:rPr>
                            </w:pPr>
                            <w:r w:rsidRPr="002D7D87">
                              <w:rPr>
                                <w:rFonts w:ascii="Arial" w:hAnsi="Arial" w:cs="Arial"/>
                                <w:b/>
                                <w:bCs/>
                                <w:sz w:val="32"/>
                                <w:szCs w:val="32"/>
                              </w:rPr>
                              <w:t xml:space="preserve"> </w:t>
                            </w:r>
                            <w:r w:rsidR="006F3A09">
                              <w:rPr>
                                <w:rFonts w:ascii="Arial" w:hAnsi="Arial" w:cs="Arial"/>
                                <w:b/>
                                <w:bCs/>
                                <w:sz w:val="32"/>
                                <w:szCs w:val="32"/>
                              </w:rPr>
                              <w:t>3</w:t>
                            </w:r>
                            <w:r w:rsidR="00CC6DC5">
                              <w:rPr>
                                <w:rFonts w:ascii="Arial" w:hAnsi="Arial" w:cs="Arial"/>
                                <w:b/>
                                <w:bCs/>
                                <w:sz w:val="32"/>
                                <w:szCs w:val="32"/>
                              </w:rPr>
                              <w:t xml:space="preserve"> </w:t>
                            </w:r>
                            <w:r w:rsidR="00321319">
                              <w:rPr>
                                <w:rFonts w:ascii="Arial" w:hAnsi="Arial" w:cs="Arial"/>
                                <w:b/>
                                <w:bCs/>
                                <w:sz w:val="32"/>
                                <w:szCs w:val="32"/>
                              </w:rPr>
                              <w:t>January 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4750CC" id="_x0000_t202" coordsize="21600,21600" o:spt="202" path="m,l,21600r21600,l21600,xe">
                <v:stroke joinstyle="miter"/>
                <v:path gradientshapeok="t" o:connecttype="rect"/>
              </v:shapetype>
              <v:shape id="Text Box 26" o:spid="_x0000_s1026" type="#_x0000_t202" style="position:absolute;left:0;text-align:left;margin-left:0;margin-top:26.65pt;width:431.8pt;height:51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" fillcolor="white [3212]">
                <v:textbox>
                  <w:txbxContent>
                    <w:p w14:paraId="78069AF9" w14:textId="77777777" w:rsidR="00D40EF5" w:rsidRDefault="00D40EF5" w:rsidP="00D40EF5">
                      <w:pPr>
                        <w:ind w:left="1134" w:right="1379"/>
                        <w:jc w:val="center"/>
                        <w:rPr>
                          <w:rFonts w:eastAsia="Arial Unicode MS" w:cs="Arial"/>
                          <w:b/>
                        </w:rPr>
                      </w:pPr>
                    </w:p>
                    <w:p w14:paraId="30743027" w14:textId="77777777" w:rsidR="00D40EF5" w:rsidRDefault="00D40EF5" w:rsidP="00D40EF5">
                      <w:pPr>
                        <w:jc w:val="center"/>
                        <w:rPr>
                          <w:rFonts w:eastAsia="Arial Unicode MS" w:cs="Arial"/>
                          <w:b/>
                        </w:rPr>
                      </w:pPr>
                    </w:p>
                    <w:p w14:paraId="74681F02" w14:textId="77777777" w:rsidR="00D40EF5" w:rsidRDefault="00D40EF5" w:rsidP="00D40EF5">
                      <w:pPr>
                        <w:jc w:val="center"/>
                        <w:rPr>
                          <w:rFonts w:eastAsia="Arial Unicode MS" w:cs="Arial"/>
                          <w:b/>
                        </w:rPr>
                      </w:pPr>
                    </w:p>
                    <w:p w14:paraId="7D435F1C" w14:textId="736D9109" w:rsidR="007B30ED" w:rsidRDefault="007B30ED" w:rsidP="007B30ED">
                      <w:pPr>
                        <w:jc w:val="center"/>
                        <w:rPr>
                          <w:rFonts w:ascii="Arial" w:hAnsi="Arial" w:cs="Arial"/>
                          <w:b/>
                          <w:sz w:val="32"/>
                          <w:szCs w:val="32"/>
                        </w:rPr>
                      </w:pPr>
                      <w:r>
                        <w:rPr>
                          <w:rFonts w:ascii="Arial" w:hAnsi="Arial" w:cs="Arial" w:hint="eastAsia"/>
                          <w:b/>
                          <w:sz w:val="32"/>
                          <w:szCs w:val="32"/>
                        </w:rPr>
                        <w:t>AS0046</w:t>
                      </w:r>
                    </w:p>
                    <w:p w14:paraId="444BC587" w14:textId="77777777" w:rsidR="007B30ED" w:rsidRDefault="007B30ED" w:rsidP="007B30ED">
                      <w:pPr>
                        <w:jc w:val="center"/>
                        <w:rPr>
                          <w:rFonts w:ascii="Arial" w:hAnsi="Arial" w:cs="Arial"/>
                          <w:b/>
                          <w:sz w:val="32"/>
                          <w:szCs w:val="32"/>
                        </w:rPr>
                      </w:pPr>
                      <w:r w:rsidRPr="007B30ED">
                        <w:rPr>
                          <w:rFonts w:ascii="Arial" w:hAnsi="Arial" w:cs="Arial"/>
                          <w:b/>
                          <w:sz w:val="32"/>
                          <w:szCs w:val="32"/>
                        </w:rPr>
                        <w:t xml:space="preserve">ANTI-SUBSIDY INVESTIGATION CONCERNING IMPORTS OF CERTAIN EXCAVATORS </w:t>
                      </w:r>
                    </w:p>
                    <w:p w14:paraId="17A40182" w14:textId="4D62044C" w:rsidR="007B30ED" w:rsidRPr="007B30ED" w:rsidRDefault="007B30ED" w:rsidP="007B30ED">
                      <w:pPr>
                        <w:jc w:val="center"/>
                        <w:rPr>
                          <w:rFonts w:ascii="Arial" w:hAnsi="Arial" w:cs="Arial"/>
                          <w:b/>
                          <w:sz w:val="32"/>
                          <w:szCs w:val="32"/>
                        </w:rPr>
                      </w:pPr>
                      <w:r w:rsidRPr="007B30ED">
                        <w:rPr>
                          <w:rFonts w:ascii="Arial" w:hAnsi="Arial" w:cs="Arial"/>
                          <w:b/>
                          <w:sz w:val="32"/>
                          <w:szCs w:val="32"/>
                        </w:rPr>
                        <w:t>ORIGINATING IN</w:t>
                      </w:r>
                    </w:p>
                    <w:p w14:paraId="09DAA6AE" w14:textId="77777777" w:rsidR="007B30ED" w:rsidRPr="007B30ED" w:rsidRDefault="007B30ED" w:rsidP="007B30ED">
                      <w:pPr>
                        <w:jc w:val="center"/>
                        <w:rPr>
                          <w:rFonts w:ascii="Arial" w:hAnsi="Arial" w:cs="Arial"/>
                          <w:b/>
                          <w:sz w:val="32"/>
                          <w:szCs w:val="32"/>
                        </w:rPr>
                      </w:pPr>
                      <w:r w:rsidRPr="007B30ED">
                        <w:rPr>
                          <w:rFonts w:ascii="Arial" w:hAnsi="Arial" w:cs="Arial"/>
                          <w:b/>
                          <w:sz w:val="32"/>
                          <w:szCs w:val="32"/>
                        </w:rPr>
                        <w:t>THE PEOPLE’S REPUBLIC OF CHINA</w:t>
                      </w:r>
                    </w:p>
                    <w:p w14:paraId="4B302EF8" w14:textId="24391B82" w:rsidR="00D40EF5" w:rsidRPr="002D7D87" w:rsidRDefault="00D40EF5" w:rsidP="007B30ED">
                      <w:pPr>
                        <w:jc w:val="center"/>
                        <w:rPr>
                          <w:rFonts w:ascii="Arial" w:hAnsi="Arial" w:cs="Arial"/>
                          <w:b/>
                          <w:color w:val="FFFFFF" w:themeColor="background1"/>
                          <w:sz w:val="32"/>
                          <w:szCs w:val="32"/>
                        </w:rPr>
                      </w:pPr>
                    </w:p>
                    <w:p w14:paraId="53B20D5A" w14:textId="77777777" w:rsidR="00D40EF5" w:rsidRPr="002D7D87" w:rsidRDefault="00D40EF5" w:rsidP="00D40EF5">
                      <w:pPr>
                        <w:jc w:val="center"/>
                        <w:rPr>
                          <w:rFonts w:ascii="Arial" w:hAnsi="Arial" w:cs="Arial"/>
                          <w:b/>
                          <w:sz w:val="32"/>
                          <w:szCs w:val="32"/>
                        </w:rPr>
                      </w:pPr>
                    </w:p>
                    <w:p w14:paraId="70B71500" w14:textId="77777777" w:rsidR="00D40EF5" w:rsidRPr="002D7D87" w:rsidRDefault="00D40EF5" w:rsidP="00D40EF5">
                      <w:pPr>
                        <w:jc w:val="center"/>
                        <w:rPr>
                          <w:rFonts w:ascii="Arial" w:hAnsi="Arial" w:cs="Arial"/>
                          <w:b/>
                          <w:sz w:val="32"/>
                          <w:szCs w:val="32"/>
                        </w:rPr>
                      </w:pPr>
                    </w:p>
                    <w:p w14:paraId="7BB17C27" w14:textId="4073C4E1" w:rsidR="00B12166" w:rsidRPr="007B30ED" w:rsidRDefault="00B12166" w:rsidP="00D40EF5">
                      <w:pPr>
                        <w:jc w:val="center"/>
                        <w:rPr>
                          <w:rFonts w:ascii="Arial" w:hAnsi="Arial" w:cs="Arial"/>
                          <w:b/>
                          <w:sz w:val="32"/>
                          <w:szCs w:val="32"/>
                        </w:rPr>
                      </w:pPr>
                      <w:r w:rsidRPr="007B30ED">
                        <w:rPr>
                          <w:rFonts w:ascii="Arial" w:hAnsi="Arial" w:cs="Arial"/>
                          <w:b/>
                          <w:sz w:val="32"/>
                          <w:szCs w:val="32"/>
                        </w:rPr>
                        <w:t xml:space="preserve">COMMENTS </w:t>
                      </w:r>
                      <w:r w:rsidR="007B30ED" w:rsidRPr="007B30ED">
                        <w:rPr>
                          <w:rFonts w:ascii="Arial" w:hAnsi="Arial" w:cs="Arial" w:hint="eastAsia"/>
                          <w:b/>
                          <w:sz w:val="32"/>
                          <w:szCs w:val="32"/>
                        </w:rPr>
                        <w:t>ON</w:t>
                      </w:r>
                      <w:r w:rsidRPr="007B30ED">
                        <w:rPr>
                          <w:rFonts w:ascii="Arial" w:hAnsi="Arial" w:cs="Arial"/>
                          <w:b/>
                          <w:sz w:val="32"/>
                          <w:szCs w:val="32"/>
                        </w:rPr>
                        <w:t xml:space="preserve"> THE </w:t>
                      </w:r>
                      <w:r w:rsidR="007B30ED" w:rsidRPr="007B30ED">
                        <w:rPr>
                          <w:rFonts w:ascii="Arial" w:hAnsi="Arial" w:cs="Arial" w:hint="eastAsia"/>
                          <w:b/>
                          <w:sz w:val="32"/>
                          <w:szCs w:val="32"/>
                        </w:rPr>
                        <w:t>APPLICATION</w:t>
                      </w:r>
                    </w:p>
                    <w:p w14:paraId="189B0DDB" w14:textId="62E37E17" w:rsidR="00C91793" w:rsidRDefault="00B12166" w:rsidP="00CC6DC5">
                      <w:pPr>
                        <w:jc w:val="center"/>
                        <w:rPr>
                          <w:rFonts w:ascii="Arial" w:hAnsi="Arial" w:cs="Arial"/>
                          <w:b/>
                          <w:sz w:val="32"/>
                          <w:szCs w:val="32"/>
                        </w:rPr>
                      </w:pPr>
                      <w:r w:rsidRPr="00B12166">
                        <w:rPr>
                          <w:rFonts w:ascii="Arial" w:hAnsi="Arial" w:cs="Arial"/>
                          <w:b/>
                          <w:sz w:val="32"/>
                          <w:szCs w:val="32"/>
                        </w:rPr>
                        <w:t>OF TH</w:t>
                      </w:r>
                      <w:r>
                        <w:rPr>
                          <w:rFonts w:ascii="Arial" w:hAnsi="Arial" w:cs="Arial"/>
                          <w:b/>
                          <w:sz w:val="32"/>
                          <w:szCs w:val="32"/>
                        </w:rPr>
                        <w:t xml:space="preserve">E </w:t>
                      </w:r>
                      <w:r w:rsidR="00D40EF5" w:rsidRPr="002D7D87">
                        <w:rPr>
                          <w:rFonts w:ascii="Arial" w:hAnsi="Arial" w:cs="Arial"/>
                          <w:b/>
                          <w:sz w:val="32"/>
                          <w:szCs w:val="32"/>
                        </w:rPr>
                        <w:t xml:space="preserve">GOVERNMENT OF THE </w:t>
                      </w:r>
                    </w:p>
                    <w:p w14:paraId="38944FF3" w14:textId="7E122179" w:rsidR="00D40EF5" w:rsidRPr="002D7D87" w:rsidRDefault="00D40EF5" w:rsidP="00D40EF5">
                      <w:pPr>
                        <w:spacing w:after="120"/>
                        <w:jc w:val="center"/>
                        <w:rPr>
                          <w:rFonts w:ascii="Arial" w:hAnsi="Arial" w:cs="Arial"/>
                          <w:b/>
                          <w:sz w:val="32"/>
                          <w:szCs w:val="32"/>
                        </w:rPr>
                      </w:pPr>
                      <w:r w:rsidRPr="002D7D87">
                        <w:rPr>
                          <w:rFonts w:ascii="Arial" w:hAnsi="Arial" w:cs="Arial"/>
                          <w:b/>
                          <w:sz w:val="32"/>
                          <w:szCs w:val="32"/>
                        </w:rPr>
                        <w:t>PEOPLE’S REPUBLIC OF CHINA</w:t>
                      </w:r>
                    </w:p>
                    <w:p w14:paraId="2CCBF060" w14:textId="77777777" w:rsidR="00D40EF5" w:rsidRPr="002D7D87" w:rsidRDefault="00D40EF5" w:rsidP="00D40EF5">
                      <w:pPr>
                        <w:jc w:val="center"/>
                        <w:rPr>
                          <w:rFonts w:ascii="Arial" w:hAnsi="Arial" w:cs="Arial"/>
                          <w:b/>
                          <w:sz w:val="32"/>
                          <w:szCs w:val="32"/>
                        </w:rPr>
                      </w:pPr>
                    </w:p>
                    <w:p w14:paraId="26D15736" w14:textId="77777777" w:rsidR="00D40EF5" w:rsidRPr="002D7D87" w:rsidRDefault="00D40EF5" w:rsidP="00D40EF5">
                      <w:pPr>
                        <w:jc w:val="center"/>
                        <w:rPr>
                          <w:rFonts w:ascii="Arial" w:hAnsi="Arial" w:cs="Arial"/>
                          <w:b/>
                          <w:sz w:val="32"/>
                          <w:szCs w:val="32"/>
                        </w:rPr>
                      </w:pPr>
                    </w:p>
                    <w:p w14:paraId="480B7F45" w14:textId="77777777" w:rsidR="00D40EF5" w:rsidRPr="002D7D87" w:rsidRDefault="00D40EF5" w:rsidP="00D40EF5">
                      <w:pPr>
                        <w:ind w:left="1134" w:right="1379"/>
                        <w:jc w:val="center"/>
                        <w:rPr>
                          <w:rFonts w:ascii="Arial" w:hAnsi="Arial" w:cs="Arial"/>
                          <w:b/>
                          <w:bCs/>
                          <w:sz w:val="32"/>
                          <w:szCs w:val="32"/>
                        </w:rPr>
                      </w:pPr>
                      <w:r>
                        <w:rPr>
                          <w:rFonts w:ascii="Arial" w:hAnsi="Arial" w:cs="Arial"/>
                          <w:b/>
                          <w:bCs/>
                          <w:sz w:val="32"/>
                          <w:szCs w:val="32"/>
                        </w:rPr>
                        <w:t>OPEN</w:t>
                      </w:r>
                      <w:r w:rsidRPr="002D7D87">
                        <w:rPr>
                          <w:rFonts w:ascii="Arial" w:hAnsi="Arial" w:cs="Arial"/>
                          <w:b/>
                          <w:bCs/>
                          <w:sz w:val="32"/>
                          <w:szCs w:val="32"/>
                        </w:rPr>
                        <w:t xml:space="preserve"> VERSION</w:t>
                      </w:r>
                    </w:p>
                    <w:p w14:paraId="7C1E4CEF" w14:textId="77777777" w:rsidR="00D40EF5" w:rsidRPr="002D7D87" w:rsidRDefault="00D40EF5" w:rsidP="00D40EF5">
                      <w:pPr>
                        <w:ind w:left="1134" w:right="1379"/>
                        <w:jc w:val="center"/>
                        <w:rPr>
                          <w:rFonts w:ascii="Arial" w:hAnsi="Arial" w:cs="Arial"/>
                          <w:b/>
                          <w:bCs/>
                          <w:sz w:val="32"/>
                          <w:szCs w:val="32"/>
                        </w:rPr>
                      </w:pPr>
                    </w:p>
                    <w:p w14:paraId="317A68FB" w14:textId="77777777" w:rsidR="00D40EF5" w:rsidRPr="002D7D87" w:rsidRDefault="00D40EF5" w:rsidP="00D40EF5">
                      <w:pPr>
                        <w:ind w:left="1134" w:right="1379"/>
                        <w:jc w:val="center"/>
                        <w:rPr>
                          <w:rFonts w:ascii="Arial" w:hAnsi="Arial" w:cs="Arial"/>
                          <w:b/>
                          <w:bCs/>
                          <w:sz w:val="32"/>
                          <w:szCs w:val="32"/>
                        </w:rPr>
                      </w:pPr>
                    </w:p>
                    <w:p w14:paraId="401A3E46" w14:textId="321942A0" w:rsidR="00D40EF5" w:rsidRPr="002D7D87" w:rsidRDefault="00D40EF5" w:rsidP="00D40EF5">
                      <w:pPr>
                        <w:jc w:val="center"/>
                        <w:rPr>
                          <w:rFonts w:ascii="Arial" w:hAnsi="Arial" w:cs="Arial"/>
                          <w:b/>
                          <w:bCs/>
                          <w:sz w:val="32"/>
                          <w:szCs w:val="32"/>
                        </w:rPr>
                      </w:pPr>
                      <w:r w:rsidRPr="002D7D87">
                        <w:rPr>
                          <w:rFonts w:ascii="Arial" w:hAnsi="Arial" w:cs="Arial"/>
                          <w:b/>
                          <w:bCs/>
                          <w:sz w:val="32"/>
                          <w:szCs w:val="32"/>
                        </w:rPr>
                        <w:t xml:space="preserve"> </w:t>
                      </w:r>
                      <w:r w:rsidR="006F3A09">
                        <w:rPr>
                          <w:rFonts w:ascii="Arial" w:hAnsi="Arial" w:cs="Arial"/>
                          <w:b/>
                          <w:bCs/>
                          <w:sz w:val="32"/>
                          <w:szCs w:val="32"/>
                        </w:rPr>
                        <w:t>3</w:t>
                      </w:r>
                      <w:r w:rsidR="00CC6DC5">
                        <w:rPr>
                          <w:rFonts w:ascii="Arial" w:hAnsi="Arial" w:cs="Arial"/>
                          <w:b/>
                          <w:bCs/>
                          <w:sz w:val="32"/>
                          <w:szCs w:val="32"/>
                        </w:rPr>
                        <w:t xml:space="preserve"> </w:t>
                      </w:r>
                      <w:r w:rsidR="00321319">
                        <w:rPr>
                          <w:rFonts w:ascii="Arial" w:hAnsi="Arial" w:cs="Arial"/>
                          <w:b/>
                          <w:bCs/>
                          <w:sz w:val="32"/>
                          <w:szCs w:val="32"/>
                        </w:rPr>
                        <w:t>January 2024</w:t>
                      </w:r>
                    </w:p>
                  </w:txbxContent>
                </v:textbox>
                <w10:wrap type="topAndBottom"/>
              </v:shape>
            </w:pict>
          </mc:Fallback>
        </mc:AlternateContent>
      </w:r>
    </w:p>
    <w:p w14:paraId="30E404B1" w14:textId="77777777" w:rsidR="00D40EF5" w:rsidRPr="00131C50" w:rsidRDefault="00D40EF5" w:rsidP="00D40EF5">
      <w:pPr>
        <w:tabs>
          <w:tab w:val="left" w:pos="5180"/>
        </w:tabs>
        <w:rPr>
          <w:rFonts w:ascii="Arial" w:hAnsi="Arial" w:cs="Arial"/>
          <w:b/>
          <w:sz w:val="24"/>
          <w:szCs w:val="24"/>
        </w:rPr>
      </w:pPr>
    </w:p>
    <w:p w14:paraId="3694C2E8" w14:textId="77777777" w:rsidR="00D40EF5" w:rsidRPr="00131C50" w:rsidRDefault="00D40EF5" w:rsidP="00D40EF5">
      <w:pPr>
        <w:tabs>
          <w:tab w:val="left" w:pos="5180"/>
        </w:tabs>
        <w:rPr>
          <w:rFonts w:ascii="Arial" w:hAnsi="Arial" w:cs="Arial"/>
          <w:b/>
          <w:sz w:val="24"/>
          <w:szCs w:val="24"/>
        </w:rPr>
      </w:pPr>
    </w:p>
    <w:p w14:paraId="04061880" w14:textId="77777777" w:rsidR="00D40EF5" w:rsidRPr="00131C50" w:rsidRDefault="00D40EF5" w:rsidP="00D40EF5">
      <w:pPr>
        <w:jc w:val="left"/>
        <w:rPr>
          <w:rFonts w:ascii="Arial" w:hAnsi="Arial" w:cs="Arial"/>
          <w:b/>
          <w:sz w:val="24"/>
          <w:szCs w:val="24"/>
        </w:rPr>
      </w:pPr>
      <w:r w:rsidRPr="00131C50">
        <w:rPr>
          <w:rFonts w:ascii="Arial" w:hAnsi="Arial" w:cs="Arial"/>
          <w:b/>
          <w:sz w:val="24"/>
          <w:szCs w:val="24"/>
        </w:rPr>
        <w:br w:type="page"/>
      </w:r>
    </w:p>
    <w:p w14:paraId="78E68E49" w14:textId="77777777" w:rsidR="00D40EF5" w:rsidRPr="00131C50" w:rsidRDefault="00D40EF5" w:rsidP="000760FD">
      <w:pPr>
        <w:tabs>
          <w:tab w:val="left" w:pos="630"/>
          <w:tab w:val="left" w:pos="5180"/>
        </w:tabs>
        <w:spacing w:line="240" w:lineRule="auto"/>
        <w:jc w:val="center"/>
        <w:rPr>
          <w:rFonts w:ascii="Arial" w:hAnsi="Arial" w:cs="Arial"/>
          <w:b/>
        </w:rPr>
      </w:pPr>
      <w:r w:rsidRPr="00131C50">
        <w:rPr>
          <w:rFonts w:ascii="Arial" w:hAnsi="Arial" w:cs="Arial"/>
          <w:b/>
        </w:rPr>
        <w:lastRenderedPageBreak/>
        <w:t>TABLE OF CONTENTS</w:t>
      </w:r>
    </w:p>
    <w:sdt>
      <w:sdtPr>
        <w:rPr>
          <w:rFonts w:ascii="Arial" w:hAnsi="Arial" w:cs="Arial"/>
          <w:b w:val="0"/>
          <w:bCs w:val="0"/>
          <w:caps w:val="0"/>
          <w:sz w:val="22"/>
          <w:szCs w:val="22"/>
        </w:rPr>
        <w:id w:val="169458207"/>
        <w:docPartObj>
          <w:docPartGallery w:val="Table of Contents"/>
          <w:docPartUnique/>
        </w:docPartObj>
      </w:sdtPr>
      <w:sdtContent>
        <w:p w14:paraId="57FA6B33" w14:textId="0417E533" w:rsidR="0026570C" w:rsidRDefault="00D40EF5">
          <w:pPr>
            <w:pStyle w:val="TOC1"/>
            <w:rPr>
              <w:rFonts w:asciiTheme="minorHAnsi" w:hAnsiTheme="minorHAnsi"/>
              <w:b w:val="0"/>
              <w:bCs w:val="0"/>
              <w:caps w:val="0"/>
              <w:noProof/>
              <w:kern w:val="2"/>
              <w:sz w:val="22"/>
              <w14:ligatures w14:val="standardContextual"/>
            </w:rPr>
          </w:pPr>
          <w:r w:rsidRPr="00D326CF">
            <w:rPr>
              <w:rFonts w:ascii="Arial" w:hAnsi="Arial" w:cs="Arial"/>
              <w:sz w:val="22"/>
              <w:szCs w:val="22"/>
            </w:rPr>
            <w:fldChar w:fldCharType="begin"/>
          </w:r>
          <w:r w:rsidRPr="00D326CF">
            <w:rPr>
              <w:rFonts w:ascii="Arial" w:hAnsi="Arial" w:cs="Arial"/>
              <w:sz w:val="22"/>
              <w:szCs w:val="22"/>
            </w:rPr>
            <w:instrText xml:space="preserve"> TOC \o "1-3" \h \z \u </w:instrText>
          </w:r>
          <w:r w:rsidRPr="00D326CF">
            <w:rPr>
              <w:rFonts w:ascii="Arial" w:hAnsi="Arial" w:cs="Arial"/>
              <w:sz w:val="22"/>
              <w:szCs w:val="22"/>
            </w:rPr>
            <w:fldChar w:fldCharType="separate"/>
          </w:r>
          <w:hyperlink w:anchor="_Toc161355112" w:history="1">
            <w:r w:rsidR="0026570C" w:rsidRPr="00A4476D">
              <w:rPr>
                <w:rStyle w:val="a4"/>
                <w:noProof/>
              </w:rPr>
              <w:t>1</w:t>
            </w:r>
            <w:r w:rsidR="0026570C">
              <w:rPr>
                <w:rFonts w:asciiTheme="minorHAnsi" w:hAnsiTheme="minorHAnsi"/>
                <w:b w:val="0"/>
                <w:bCs w:val="0"/>
                <w:caps w:val="0"/>
                <w:noProof/>
                <w:kern w:val="2"/>
                <w:sz w:val="22"/>
                <w14:ligatures w14:val="standardContextual"/>
              </w:rPr>
              <w:tab/>
            </w:r>
            <w:r w:rsidR="0026570C" w:rsidRPr="00A4476D">
              <w:rPr>
                <w:rStyle w:val="a4"/>
                <w:noProof/>
              </w:rPr>
              <w:t>Introduction</w:t>
            </w:r>
            <w:r w:rsidR="0026570C">
              <w:rPr>
                <w:noProof/>
                <w:webHidden/>
              </w:rPr>
              <w:tab/>
            </w:r>
            <w:r w:rsidR="0026570C">
              <w:rPr>
                <w:noProof/>
                <w:webHidden/>
              </w:rPr>
              <w:fldChar w:fldCharType="begin"/>
            </w:r>
            <w:r w:rsidR="0026570C">
              <w:rPr>
                <w:noProof/>
                <w:webHidden/>
              </w:rPr>
              <w:instrText xml:space="preserve"> PAGEREF _Toc161355112 \h </w:instrText>
            </w:r>
            <w:r w:rsidR="0026570C">
              <w:rPr>
                <w:noProof/>
                <w:webHidden/>
              </w:rPr>
            </w:r>
            <w:r w:rsidR="0026570C">
              <w:rPr>
                <w:noProof/>
                <w:webHidden/>
              </w:rPr>
              <w:fldChar w:fldCharType="separate"/>
            </w:r>
            <w:r w:rsidR="0026570C">
              <w:rPr>
                <w:noProof/>
                <w:webHidden/>
              </w:rPr>
              <w:t>3</w:t>
            </w:r>
            <w:r w:rsidR="0026570C">
              <w:rPr>
                <w:noProof/>
                <w:webHidden/>
              </w:rPr>
              <w:fldChar w:fldCharType="end"/>
            </w:r>
          </w:hyperlink>
        </w:p>
        <w:p w14:paraId="3CEF5F2A" w14:textId="16DD379D" w:rsidR="0026570C" w:rsidRDefault="00000000">
          <w:pPr>
            <w:pStyle w:val="TOC1"/>
            <w:rPr>
              <w:rFonts w:asciiTheme="minorHAnsi" w:hAnsiTheme="minorHAnsi"/>
              <w:b w:val="0"/>
              <w:bCs w:val="0"/>
              <w:caps w:val="0"/>
              <w:noProof/>
              <w:kern w:val="2"/>
              <w:sz w:val="22"/>
              <w14:ligatures w14:val="standardContextual"/>
            </w:rPr>
          </w:pPr>
          <w:hyperlink w:anchor="_Toc161355113" w:history="1">
            <w:r w:rsidR="0026570C" w:rsidRPr="00A4476D">
              <w:rPr>
                <w:rStyle w:val="a4"/>
                <w:noProof/>
              </w:rPr>
              <w:t>2</w:t>
            </w:r>
            <w:r w:rsidR="0026570C">
              <w:rPr>
                <w:rFonts w:asciiTheme="minorHAnsi" w:hAnsiTheme="minorHAnsi"/>
                <w:b w:val="0"/>
                <w:bCs w:val="0"/>
                <w:caps w:val="0"/>
                <w:noProof/>
                <w:kern w:val="2"/>
                <w:sz w:val="22"/>
                <w14:ligatures w14:val="standardContextual"/>
              </w:rPr>
              <w:tab/>
            </w:r>
            <w:r w:rsidR="0026570C" w:rsidRPr="00A4476D">
              <w:rPr>
                <w:rStyle w:val="a4"/>
                <w:noProof/>
              </w:rPr>
              <w:t>PROCEDURAL OBSERVATION</w:t>
            </w:r>
            <w:r w:rsidR="0026570C">
              <w:rPr>
                <w:noProof/>
                <w:webHidden/>
              </w:rPr>
              <w:tab/>
            </w:r>
            <w:r w:rsidR="0026570C">
              <w:rPr>
                <w:noProof/>
                <w:webHidden/>
              </w:rPr>
              <w:fldChar w:fldCharType="begin"/>
            </w:r>
            <w:r w:rsidR="0026570C">
              <w:rPr>
                <w:noProof/>
                <w:webHidden/>
              </w:rPr>
              <w:instrText xml:space="preserve"> PAGEREF _Toc161355113 \h </w:instrText>
            </w:r>
            <w:r w:rsidR="0026570C">
              <w:rPr>
                <w:noProof/>
                <w:webHidden/>
              </w:rPr>
            </w:r>
            <w:r w:rsidR="0026570C">
              <w:rPr>
                <w:noProof/>
                <w:webHidden/>
              </w:rPr>
              <w:fldChar w:fldCharType="separate"/>
            </w:r>
            <w:r w:rsidR="0026570C">
              <w:rPr>
                <w:noProof/>
                <w:webHidden/>
              </w:rPr>
              <w:t>4</w:t>
            </w:r>
            <w:r w:rsidR="0026570C">
              <w:rPr>
                <w:noProof/>
                <w:webHidden/>
              </w:rPr>
              <w:fldChar w:fldCharType="end"/>
            </w:r>
          </w:hyperlink>
        </w:p>
        <w:p w14:paraId="4622ADB7" w14:textId="7E8BBE71" w:rsidR="0026570C" w:rsidRDefault="00000000">
          <w:pPr>
            <w:pStyle w:val="TOC2"/>
            <w:rPr>
              <w:rFonts w:asciiTheme="minorHAnsi" w:hAnsiTheme="minorHAnsi" w:cstheme="minorBidi"/>
              <w:b w:val="0"/>
              <w:bCs w:val="0"/>
              <w:kern w:val="2"/>
              <w:szCs w:val="24"/>
              <w14:ligatures w14:val="standardContextual"/>
            </w:rPr>
          </w:pPr>
          <w:hyperlink w:anchor="_Toc161355114" w:history="1">
            <w:r w:rsidR="0026570C" w:rsidRPr="00A4476D">
              <w:rPr>
                <w:rStyle w:val="a4"/>
              </w:rPr>
              <w:t>2.1</w:t>
            </w:r>
            <w:r w:rsidR="0026570C">
              <w:rPr>
                <w:rFonts w:asciiTheme="minorHAnsi" w:hAnsiTheme="minorHAnsi" w:cstheme="minorBidi"/>
                <w:b w:val="0"/>
                <w:bCs w:val="0"/>
                <w:kern w:val="2"/>
                <w:szCs w:val="24"/>
                <w14:ligatures w14:val="standardContextual"/>
              </w:rPr>
              <w:tab/>
            </w:r>
            <w:r w:rsidR="0026570C" w:rsidRPr="00A4476D">
              <w:rPr>
                <w:rStyle w:val="a4"/>
              </w:rPr>
              <w:t>Concerns regarding the Applicant’s standing</w:t>
            </w:r>
            <w:r w:rsidR="0026570C">
              <w:rPr>
                <w:webHidden/>
              </w:rPr>
              <w:tab/>
            </w:r>
            <w:r w:rsidR="0026570C">
              <w:rPr>
                <w:webHidden/>
              </w:rPr>
              <w:fldChar w:fldCharType="begin"/>
            </w:r>
            <w:r w:rsidR="0026570C">
              <w:rPr>
                <w:webHidden/>
              </w:rPr>
              <w:instrText xml:space="preserve"> PAGEREF _Toc161355114 \h </w:instrText>
            </w:r>
            <w:r w:rsidR="0026570C">
              <w:rPr>
                <w:webHidden/>
              </w:rPr>
            </w:r>
            <w:r w:rsidR="0026570C">
              <w:rPr>
                <w:webHidden/>
              </w:rPr>
              <w:fldChar w:fldCharType="separate"/>
            </w:r>
            <w:r w:rsidR="0026570C">
              <w:rPr>
                <w:webHidden/>
              </w:rPr>
              <w:t>4</w:t>
            </w:r>
            <w:r w:rsidR="0026570C">
              <w:rPr>
                <w:webHidden/>
              </w:rPr>
              <w:fldChar w:fldCharType="end"/>
            </w:r>
          </w:hyperlink>
        </w:p>
        <w:p w14:paraId="3B6F2F0E" w14:textId="7512D630" w:rsidR="0026570C" w:rsidRDefault="00000000">
          <w:pPr>
            <w:pStyle w:val="TOC1"/>
            <w:rPr>
              <w:rFonts w:asciiTheme="minorHAnsi" w:hAnsiTheme="minorHAnsi"/>
              <w:b w:val="0"/>
              <w:bCs w:val="0"/>
              <w:caps w:val="0"/>
              <w:noProof/>
              <w:kern w:val="2"/>
              <w:sz w:val="22"/>
              <w14:ligatures w14:val="standardContextual"/>
            </w:rPr>
          </w:pPr>
          <w:hyperlink w:anchor="_Toc161355115" w:history="1">
            <w:r w:rsidR="0026570C" w:rsidRPr="00A4476D">
              <w:rPr>
                <w:rStyle w:val="a4"/>
                <w:noProof/>
              </w:rPr>
              <w:t>3</w:t>
            </w:r>
            <w:r w:rsidR="0026570C">
              <w:rPr>
                <w:rFonts w:asciiTheme="minorHAnsi" w:hAnsiTheme="minorHAnsi"/>
                <w:b w:val="0"/>
                <w:bCs w:val="0"/>
                <w:caps w:val="0"/>
                <w:noProof/>
                <w:kern w:val="2"/>
                <w:sz w:val="22"/>
                <w14:ligatures w14:val="standardContextual"/>
              </w:rPr>
              <w:tab/>
            </w:r>
            <w:r w:rsidR="0026570C" w:rsidRPr="00A4476D">
              <w:rPr>
                <w:rStyle w:val="a4"/>
                <w:noProof/>
              </w:rPr>
              <w:t>SUBSIDIZATION</w:t>
            </w:r>
            <w:r w:rsidR="0026570C">
              <w:rPr>
                <w:noProof/>
                <w:webHidden/>
              </w:rPr>
              <w:tab/>
            </w:r>
            <w:r w:rsidR="0026570C">
              <w:rPr>
                <w:noProof/>
                <w:webHidden/>
              </w:rPr>
              <w:fldChar w:fldCharType="begin"/>
            </w:r>
            <w:r w:rsidR="0026570C">
              <w:rPr>
                <w:noProof/>
                <w:webHidden/>
              </w:rPr>
              <w:instrText xml:space="preserve"> PAGEREF _Toc161355115 \h </w:instrText>
            </w:r>
            <w:r w:rsidR="0026570C">
              <w:rPr>
                <w:noProof/>
                <w:webHidden/>
              </w:rPr>
            </w:r>
            <w:r w:rsidR="0026570C">
              <w:rPr>
                <w:noProof/>
                <w:webHidden/>
              </w:rPr>
              <w:fldChar w:fldCharType="separate"/>
            </w:r>
            <w:r w:rsidR="0026570C">
              <w:rPr>
                <w:noProof/>
                <w:webHidden/>
              </w:rPr>
              <w:t>6</w:t>
            </w:r>
            <w:r w:rsidR="0026570C">
              <w:rPr>
                <w:noProof/>
                <w:webHidden/>
              </w:rPr>
              <w:fldChar w:fldCharType="end"/>
            </w:r>
          </w:hyperlink>
        </w:p>
        <w:p w14:paraId="336D034E" w14:textId="1F1D8A4F" w:rsidR="0026570C" w:rsidRDefault="00000000">
          <w:pPr>
            <w:pStyle w:val="TOC2"/>
            <w:rPr>
              <w:rFonts w:asciiTheme="minorHAnsi" w:hAnsiTheme="minorHAnsi" w:cstheme="minorBidi"/>
              <w:b w:val="0"/>
              <w:bCs w:val="0"/>
              <w:kern w:val="2"/>
              <w:szCs w:val="24"/>
              <w14:ligatures w14:val="standardContextual"/>
            </w:rPr>
          </w:pPr>
          <w:hyperlink w:anchor="_Toc161355116" w:history="1">
            <w:r w:rsidR="0026570C" w:rsidRPr="00A4476D">
              <w:rPr>
                <w:rStyle w:val="a4"/>
              </w:rPr>
              <w:t>3.1</w:t>
            </w:r>
            <w:r w:rsidR="0026570C">
              <w:rPr>
                <w:rFonts w:asciiTheme="minorHAnsi" w:hAnsiTheme="minorHAnsi" w:cstheme="minorBidi"/>
                <w:b w:val="0"/>
                <w:bCs w:val="0"/>
                <w:kern w:val="2"/>
                <w:szCs w:val="24"/>
                <w14:ligatures w14:val="standardContextual"/>
              </w:rPr>
              <w:tab/>
            </w:r>
            <w:r w:rsidR="0026570C" w:rsidRPr="00A4476D">
              <w:rPr>
                <w:rStyle w:val="a4"/>
              </w:rPr>
              <w:t>Applicable legal standard</w:t>
            </w:r>
            <w:r w:rsidR="0026570C">
              <w:rPr>
                <w:webHidden/>
              </w:rPr>
              <w:tab/>
            </w:r>
            <w:r w:rsidR="0026570C">
              <w:rPr>
                <w:webHidden/>
              </w:rPr>
              <w:fldChar w:fldCharType="begin"/>
            </w:r>
            <w:r w:rsidR="0026570C">
              <w:rPr>
                <w:webHidden/>
              </w:rPr>
              <w:instrText xml:space="preserve"> PAGEREF _Toc161355116 \h </w:instrText>
            </w:r>
            <w:r w:rsidR="0026570C">
              <w:rPr>
                <w:webHidden/>
              </w:rPr>
            </w:r>
            <w:r w:rsidR="0026570C">
              <w:rPr>
                <w:webHidden/>
              </w:rPr>
              <w:fldChar w:fldCharType="separate"/>
            </w:r>
            <w:r w:rsidR="0026570C">
              <w:rPr>
                <w:webHidden/>
              </w:rPr>
              <w:t>6</w:t>
            </w:r>
            <w:r w:rsidR="0026570C">
              <w:rPr>
                <w:webHidden/>
              </w:rPr>
              <w:fldChar w:fldCharType="end"/>
            </w:r>
          </w:hyperlink>
        </w:p>
        <w:p w14:paraId="78248B4B" w14:textId="1D716281" w:rsidR="0026570C" w:rsidRDefault="00000000">
          <w:pPr>
            <w:pStyle w:val="TOC2"/>
            <w:rPr>
              <w:rFonts w:asciiTheme="minorHAnsi" w:hAnsiTheme="minorHAnsi" w:cstheme="minorBidi"/>
              <w:b w:val="0"/>
              <w:bCs w:val="0"/>
              <w:kern w:val="2"/>
              <w:szCs w:val="24"/>
              <w14:ligatures w14:val="standardContextual"/>
            </w:rPr>
          </w:pPr>
          <w:hyperlink w:anchor="_Toc161355117" w:history="1">
            <w:r w:rsidR="0026570C" w:rsidRPr="00A4476D">
              <w:rPr>
                <w:rStyle w:val="a4"/>
              </w:rPr>
              <w:t>3.2</w:t>
            </w:r>
            <w:r w:rsidR="0026570C">
              <w:rPr>
                <w:rFonts w:asciiTheme="minorHAnsi" w:hAnsiTheme="minorHAnsi" w:cstheme="minorBidi"/>
                <w:b w:val="0"/>
                <w:bCs w:val="0"/>
                <w:kern w:val="2"/>
                <w:szCs w:val="24"/>
                <w14:ligatures w14:val="standardContextual"/>
              </w:rPr>
              <w:tab/>
            </w:r>
            <w:r w:rsidR="0026570C" w:rsidRPr="00A4476D">
              <w:rPr>
                <w:rStyle w:val="a4"/>
              </w:rPr>
              <w:t>Excavator is not an “encouraged” industry.</w:t>
            </w:r>
            <w:r w:rsidR="0026570C">
              <w:rPr>
                <w:webHidden/>
              </w:rPr>
              <w:tab/>
            </w:r>
            <w:r w:rsidR="0026570C">
              <w:rPr>
                <w:webHidden/>
              </w:rPr>
              <w:fldChar w:fldCharType="begin"/>
            </w:r>
            <w:r w:rsidR="0026570C">
              <w:rPr>
                <w:webHidden/>
              </w:rPr>
              <w:instrText xml:space="preserve"> PAGEREF _Toc161355117 \h </w:instrText>
            </w:r>
            <w:r w:rsidR="0026570C">
              <w:rPr>
                <w:webHidden/>
              </w:rPr>
            </w:r>
            <w:r w:rsidR="0026570C">
              <w:rPr>
                <w:webHidden/>
              </w:rPr>
              <w:fldChar w:fldCharType="separate"/>
            </w:r>
            <w:r w:rsidR="0026570C">
              <w:rPr>
                <w:webHidden/>
              </w:rPr>
              <w:t>9</w:t>
            </w:r>
            <w:r w:rsidR="0026570C">
              <w:rPr>
                <w:webHidden/>
              </w:rPr>
              <w:fldChar w:fldCharType="end"/>
            </w:r>
          </w:hyperlink>
        </w:p>
        <w:p w14:paraId="2D00B2C9" w14:textId="298DEB8C" w:rsidR="0026570C" w:rsidRDefault="00000000">
          <w:pPr>
            <w:pStyle w:val="TOC2"/>
            <w:rPr>
              <w:rFonts w:asciiTheme="minorHAnsi" w:hAnsiTheme="minorHAnsi" w:cstheme="minorBidi"/>
              <w:b w:val="0"/>
              <w:bCs w:val="0"/>
              <w:kern w:val="2"/>
              <w:szCs w:val="24"/>
              <w14:ligatures w14:val="standardContextual"/>
            </w:rPr>
          </w:pPr>
          <w:hyperlink w:anchor="_Toc161355118" w:history="1">
            <w:r w:rsidR="0026570C" w:rsidRPr="00A4476D">
              <w:rPr>
                <w:rStyle w:val="a4"/>
              </w:rPr>
              <w:t>3.3</w:t>
            </w:r>
            <w:r w:rsidR="0026570C">
              <w:rPr>
                <w:rFonts w:asciiTheme="minorHAnsi" w:hAnsiTheme="minorHAnsi" w:cstheme="minorBidi"/>
                <w:b w:val="0"/>
                <w:bCs w:val="0"/>
                <w:kern w:val="2"/>
                <w:szCs w:val="24"/>
                <w14:ligatures w14:val="standardContextual"/>
              </w:rPr>
              <w:tab/>
            </w:r>
            <w:r w:rsidR="0026570C" w:rsidRPr="00A4476D">
              <w:rPr>
                <w:rStyle w:val="a4"/>
              </w:rPr>
              <w:t>Alleged government revenue forgone or not collected</w:t>
            </w:r>
            <w:r w:rsidR="0026570C">
              <w:rPr>
                <w:webHidden/>
              </w:rPr>
              <w:tab/>
            </w:r>
            <w:r w:rsidR="0026570C">
              <w:rPr>
                <w:webHidden/>
              </w:rPr>
              <w:fldChar w:fldCharType="begin"/>
            </w:r>
            <w:r w:rsidR="0026570C">
              <w:rPr>
                <w:webHidden/>
              </w:rPr>
              <w:instrText xml:space="preserve"> PAGEREF _Toc161355118 \h </w:instrText>
            </w:r>
            <w:r w:rsidR="0026570C">
              <w:rPr>
                <w:webHidden/>
              </w:rPr>
            </w:r>
            <w:r w:rsidR="0026570C">
              <w:rPr>
                <w:webHidden/>
              </w:rPr>
              <w:fldChar w:fldCharType="separate"/>
            </w:r>
            <w:r w:rsidR="0026570C">
              <w:rPr>
                <w:webHidden/>
              </w:rPr>
              <w:t>10</w:t>
            </w:r>
            <w:r w:rsidR="0026570C">
              <w:rPr>
                <w:webHidden/>
              </w:rPr>
              <w:fldChar w:fldCharType="end"/>
            </w:r>
          </w:hyperlink>
        </w:p>
        <w:p w14:paraId="0ED78A49" w14:textId="0386C929"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19" w:history="1">
            <w:r w:rsidR="0026570C" w:rsidRPr="00A4476D">
              <w:rPr>
                <w:rStyle w:val="a4"/>
                <w:rFonts w:ascii="Arial" w:hAnsi="Arial" w:cs="Arial"/>
                <w:b/>
                <w:bCs/>
                <w:noProof/>
              </w:rPr>
              <w:t>3.3.1</w:t>
            </w:r>
            <w:r w:rsidR="0026570C">
              <w:rPr>
                <w:rFonts w:cstheme="minorBidi"/>
                <w:noProof/>
                <w:kern w:val="2"/>
                <w:szCs w:val="24"/>
                <w:lang w:eastAsia="zh-CN"/>
                <w14:ligatures w14:val="standardContextual"/>
              </w:rPr>
              <w:tab/>
            </w:r>
            <w:r w:rsidR="0026570C" w:rsidRPr="00A4476D">
              <w:rPr>
                <w:rStyle w:val="a4"/>
                <w:rFonts w:ascii="Arial" w:eastAsia="Times New Roman" w:hAnsi="Arial" w:cs="Arial"/>
                <w:b/>
                <w:bCs/>
                <w:noProof/>
              </w:rPr>
              <w:t>Enterprise Income Tax privileges and benefits for High and New Technology Enterprises</w:t>
            </w:r>
            <w:r w:rsidR="0026570C">
              <w:rPr>
                <w:noProof/>
                <w:webHidden/>
              </w:rPr>
              <w:tab/>
            </w:r>
            <w:r w:rsidR="0026570C">
              <w:rPr>
                <w:noProof/>
                <w:webHidden/>
              </w:rPr>
              <w:fldChar w:fldCharType="begin"/>
            </w:r>
            <w:r w:rsidR="0026570C">
              <w:rPr>
                <w:noProof/>
                <w:webHidden/>
              </w:rPr>
              <w:instrText xml:space="preserve"> PAGEREF _Toc161355119 \h </w:instrText>
            </w:r>
            <w:r w:rsidR="0026570C">
              <w:rPr>
                <w:noProof/>
                <w:webHidden/>
              </w:rPr>
            </w:r>
            <w:r w:rsidR="0026570C">
              <w:rPr>
                <w:noProof/>
                <w:webHidden/>
              </w:rPr>
              <w:fldChar w:fldCharType="separate"/>
            </w:r>
            <w:r w:rsidR="0026570C">
              <w:rPr>
                <w:noProof/>
                <w:webHidden/>
              </w:rPr>
              <w:t>11</w:t>
            </w:r>
            <w:r w:rsidR="0026570C">
              <w:rPr>
                <w:noProof/>
                <w:webHidden/>
              </w:rPr>
              <w:fldChar w:fldCharType="end"/>
            </w:r>
          </w:hyperlink>
        </w:p>
        <w:p w14:paraId="7DE0CE02" w14:textId="60B02F2A"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20" w:history="1">
            <w:r w:rsidR="0026570C" w:rsidRPr="00A4476D">
              <w:rPr>
                <w:rStyle w:val="a4"/>
                <w:rFonts w:ascii="Arial" w:hAnsi="Arial" w:cs="Arial"/>
                <w:b/>
                <w:bCs/>
                <w:noProof/>
              </w:rPr>
              <w:t>3.3.2</w:t>
            </w:r>
            <w:r w:rsidR="0026570C">
              <w:rPr>
                <w:rFonts w:cstheme="minorBidi"/>
                <w:noProof/>
                <w:kern w:val="2"/>
                <w:szCs w:val="24"/>
                <w:lang w:eastAsia="zh-CN"/>
                <w14:ligatures w14:val="standardContextual"/>
              </w:rPr>
              <w:tab/>
            </w:r>
            <w:r w:rsidR="0026570C" w:rsidRPr="00A4476D">
              <w:rPr>
                <w:rStyle w:val="a4"/>
                <w:rFonts w:ascii="Arial" w:hAnsi="Arial" w:cs="Arial"/>
                <w:b/>
                <w:bCs/>
                <w:noProof/>
              </w:rPr>
              <w:t>Accelerated Depreciation Programme</w:t>
            </w:r>
            <w:r w:rsidR="0026570C">
              <w:rPr>
                <w:noProof/>
                <w:webHidden/>
              </w:rPr>
              <w:tab/>
            </w:r>
            <w:r w:rsidR="0026570C">
              <w:rPr>
                <w:noProof/>
                <w:webHidden/>
              </w:rPr>
              <w:fldChar w:fldCharType="begin"/>
            </w:r>
            <w:r w:rsidR="0026570C">
              <w:rPr>
                <w:noProof/>
                <w:webHidden/>
              </w:rPr>
              <w:instrText xml:space="preserve"> PAGEREF _Toc161355120 \h </w:instrText>
            </w:r>
            <w:r w:rsidR="0026570C">
              <w:rPr>
                <w:noProof/>
                <w:webHidden/>
              </w:rPr>
            </w:r>
            <w:r w:rsidR="0026570C">
              <w:rPr>
                <w:noProof/>
                <w:webHidden/>
              </w:rPr>
              <w:fldChar w:fldCharType="separate"/>
            </w:r>
            <w:r w:rsidR="0026570C">
              <w:rPr>
                <w:noProof/>
                <w:webHidden/>
              </w:rPr>
              <w:t>12</w:t>
            </w:r>
            <w:r w:rsidR="0026570C">
              <w:rPr>
                <w:noProof/>
                <w:webHidden/>
              </w:rPr>
              <w:fldChar w:fldCharType="end"/>
            </w:r>
          </w:hyperlink>
        </w:p>
        <w:p w14:paraId="344C2B79" w14:textId="09AFFAC6"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21" w:history="1">
            <w:r w:rsidR="0026570C" w:rsidRPr="00A4476D">
              <w:rPr>
                <w:rStyle w:val="a4"/>
                <w:rFonts w:ascii="Arial" w:hAnsi="Arial" w:cs="Arial"/>
                <w:b/>
                <w:bCs/>
                <w:noProof/>
              </w:rPr>
              <w:t>3.3.3</w:t>
            </w:r>
            <w:r w:rsidR="0026570C">
              <w:rPr>
                <w:rFonts w:cstheme="minorBidi"/>
                <w:noProof/>
                <w:kern w:val="2"/>
                <w:szCs w:val="24"/>
                <w:lang w:eastAsia="zh-CN"/>
                <w14:ligatures w14:val="standardContextual"/>
              </w:rPr>
              <w:tab/>
            </w:r>
            <w:r w:rsidR="0026570C" w:rsidRPr="00A4476D">
              <w:rPr>
                <w:rStyle w:val="a4"/>
                <w:rFonts w:ascii="Arial" w:hAnsi="Arial" w:cs="Arial"/>
                <w:b/>
                <w:bCs/>
                <w:noProof/>
              </w:rPr>
              <w:t>Tax offset for research and development</w:t>
            </w:r>
            <w:r w:rsidR="0026570C">
              <w:rPr>
                <w:noProof/>
                <w:webHidden/>
              </w:rPr>
              <w:tab/>
            </w:r>
            <w:r w:rsidR="0026570C">
              <w:rPr>
                <w:noProof/>
                <w:webHidden/>
              </w:rPr>
              <w:fldChar w:fldCharType="begin"/>
            </w:r>
            <w:r w:rsidR="0026570C">
              <w:rPr>
                <w:noProof/>
                <w:webHidden/>
              </w:rPr>
              <w:instrText xml:space="preserve"> PAGEREF _Toc161355121 \h </w:instrText>
            </w:r>
            <w:r w:rsidR="0026570C">
              <w:rPr>
                <w:noProof/>
                <w:webHidden/>
              </w:rPr>
            </w:r>
            <w:r w:rsidR="0026570C">
              <w:rPr>
                <w:noProof/>
                <w:webHidden/>
              </w:rPr>
              <w:fldChar w:fldCharType="separate"/>
            </w:r>
            <w:r w:rsidR="0026570C">
              <w:rPr>
                <w:noProof/>
                <w:webHidden/>
              </w:rPr>
              <w:t>13</w:t>
            </w:r>
            <w:r w:rsidR="0026570C">
              <w:rPr>
                <w:noProof/>
                <w:webHidden/>
              </w:rPr>
              <w:fldChar w:fldCharType="end"/>
            </w:r>
          </w:hyperlink>
        </w:p>
        <w:p w14:paraId="692C8776" w14:textId="490F84BD"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22" w:history="1">
            <w:r w:rsidR="0026570C" w:rsidRPr="00A4476D">
              <w:rPr>
                <w:rStyle w:val="a4"/>
                <w:rFonts w:ascii="Arial" w:hAnsi="Arial" w:cs="Arial"/>
                <w:b/>
                <w:bCs/>
                <w:noProof/>
              </w:rPr>
              <w:t>3.3.4</w:t>
            </w:r>
            <w:r w:rsidR="0026570C">
              <w:rPr>
                <w:rFonts w:cstheme="minorBidi"/>
                <w:noProof/>
                <w:kern w:val="2"/>
                <w:szCs w:val="24"/>
                <w:lang w:eastAsia="zh-CN"/>
                <w14:ligatures w14:val="standardContextual"/>
              </w:rPr>
              <w:tab/>
            </w:r>
            <w:r w:rsidR="0026570C" w:rsidRPr="00A4476D">
              <w:rPr>
                <w:rStyle w:val="a4"/>
                <w:rFonts w:ascii="Arial" w:hAnsi="Arial" w:cs="Arial"/>
                <w:b/>
                <w:bCs/>
                <w:noProof/>
              </w:rPr>
              <w:t>Qualified Dividend exemption between resident enterprises to avoid double taxation</w:t>
            </w:r>
            <w:r w:rsidR="0026570C">
              <w:rPr>
                <w:noProof/>
                <w:webHidden/>
              </w:rPr>
              <w:tab/>
            </w:r>
            <w:r w:rsidR="0026570C">
              <w:rPr>
                <w:noProof/>
                <w:webHidden/>
              </w:rPr>
              <w:fldChar w:fldCharType="begin"/>
            </w:r>
            <w:r w:rsidR="0026570C">
              <w:rPr>
                <w:noProof/>
                <w:webHidden/>
              </w:rPr>
              <w:instrText xml:space="preserve"> PAGEREF _Toc161355122 \h </w:instrText>
            </w:r>
            <w:r w:rsidR="0026570C">
              <w:rPr>
                <w:noProof/>
                <w:webHidden/>
              </w:rPr>
            </w:r>
            <w:r w:rsidR="0026570C">
              <w:rPr>
                <w:noProof/>
                <w:webHidden/>
              </w:rPr>
              <w:fldChar w:fldCharType="separate"/>
            </w:r>
            <w:r w:rsidR="0026570C">
              <w:rPr>
                <w:noProof/>
                <w:webHidden/>
              </w:rPr>
              <w:t>14</w:t>
            </w:r>
            <w:r w:rsidR="0026570C">
              <w:rPr>
                <w:noProof/>
                <w:webHidden/>
              </w:rPr>
              <w:fldChar w:fldCharType="end"/>
            </w:r>
          </w:hyperlink>
        </w:p>
        <w:p w14:paraId="6C55B725" w14:textId="4862A657"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23" w:history="1">
            <w:r w:rsidR="0026570C" w:rsidRPr="00A4476D">
              <w:rPr>
                <w:rStyle w:val="a4"/>
                <w:rFonts w:ascii="Arial" w:hAnsi="Arial" w:cs="Arial"/>
                <w:b/>
                <w:bCs/>
                <w:noProof/>
              </w:rPr>
              <w:t>3.3.5</w:t>
            </w:r>
            <w:r w:rsidR="0026570C">
              <w:rPr>
                <w:rFonts w:cstheme="minorBidi"/>
                <w:noProof/>
                <w:kern w:val="2"/>
                <w:szCs w:val="24"/>
                <w:lang w:eastAsia="zh-CN"/>
                <w14:ligatures w14:val="standardContextual"/>
              </w:rPr>
              <w:tab/>
            </w:r>
            <w:r w:rsidR="0026570C" w:rsidRPr="00A4476D">
              <w:rPr>
                <w:rStyle w:val="a4"/>
                <w:rFonts w:ascii="Arial" w:hAnsi="Arial" w:cs="Arial"/>
                <w:b/>
                <w:bCs/>
                <w:noProof/>
              </w:rPr>
              <w:t>Synergistic Utilisation Reduction</w:t>
            </w:r>
            <w:r w:rsidR="0026570C">
              <w:rPr>
                <w:noProof/>
                <w:webHidden/>
              </w:rPr>
              <w:tab/>
            </w:r>
            <w:r w:rsidR="0026570C">
              <w:rPr>
                <w:noProof/>
                <w:webHidden/>
              </w:rPr>
              <w:fldChar w:fldCharType="begin"/>
            </w:r>
            <w:r w:rsidR="0026570C">
              <w:rPr>
                <w:noProof/>
                <w:webHidden/>
              </w:rPr>
              <w:instrText xml:space="preserve"> PAGEREF _Toc161355123 \h </w:instrText>
            </w:r>
            <w:r w:rsidR="0026570C">
              <w:rPr>
                <w:noProof/>
                <w:webHidden/>
              </w:rPr>
            </w:r>
            <w:r w:rsidR="0026570C">
              <w:rPr>
                <w:noProof/>
                <w:webHidden/>
              </w:rPr>
              <w:fldChar w:fldCharType="separate"/>
            </w:r>
            <w:r w:rsidR="0026570C">
              <w:rPr>
                <w:noProof/>
                <w:webHidden/>
              </w:rPr>
              <w:t>15</w:t>
            </w:r>
            <w:r w:rsidR="0026570C">
              <w:rPr>
                <w:noProof/>
                <w:webHidden/>
              </w:rPr>
              <w:fldChar w:fldCharType="end"/>
            </w:r>
          </w:hyperlink>
        </w:p>
        <w:p w14:paraId="2F5FFB42" w14:textId="1F2A9D2E"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24" w:history="1">
            <w:r w:rsidR="0026570C" w:rsidRPr="00A4476D">
              <w:rPr>
                <w:rStyle w:val="a4"/>
                <w:rFonts w:ascii="Arial" w:hAnsi="Arial" w:cs="Arial"/>
                <w:b/>
                <w:bCs/>
                <w:noProof/>
              </w:rPr>
              <w:t>3.3.6</w:t>
            </w:r>
            <w:r w:rsidR="0026570C">
              <w:rPr>
                <w:rFonts w:cstheme="minorBidi"/>
                <w:noProof/>
                <w:kern w:val="2"/>
                <w:szCs w:val="24"/>
                <w:lang w:eastAsia="zh-CN"/>
                <w14:ligatures w14:val="standardContextual"/>
              </w:rPr>
              <w:tab/>
            </w:r>
            <w:r w:rsidR="0026570C" w:rsidRPr="00A4476D">
              <w:rPr>
                <w:rStyle w:val="a4"/>
                <w:rFonts w:ascii="Arial" w:hAnsi="Arial" w:cs="Arial"/>
                <w:b/>
                <w:bCs/>
                <w:noProof/>
              </w:rPr>
              <w:t>VAT exemption on imported equipment</w:t>
            </w:r>
            <w:r w:rsidR="0026570C">
              <w:rPr>
                <w:noProof/>
                <w:webHidden/>
              </w:rPr>
              <w:tab/>
            </w:r>
            <w:r w:rsidR="0026570C">
              <w:rPr>
                <w:noProof/>
                <w:webHidden/>
              </w:rPr>
              <w:fldChar w:fldCharType="begin"/>
            </w:r>
            <w:r w:rsidR="0026570C">
              <w:rPr>
                <w:noProof/>
                <w:webHidden/>
              </w:rPr>
              <w:instrText xml:space="preserve"> PAGEREF _Toc161355124 \h </w:instrText>
            </w:r>
            <w:r w:rsidR="0026570C">
              <w:rPr>
                <w:noProof/>
                <w:webHidden/>
              </w:rPr>
            </w:r>
            <w:r w:rsidR="0026570C">
              <w:rPr>
                <w:noProof/>
                <w:webHidden/>
              </w:rPr>
              <w:fldChar w:fldCharType="separate"/>
            </w:r>
            <w:r w:rsidR="0026570C">
              <w:rPr>
                <w:noProof/>
                <w:webHidden/>
              </w:rPr>
              <w:t>17</w:t>
            </w:r>
            <w:r w:rsidR="0026570C">
              <w:rPr>
                <w:noProof/>
                <w:webHidden/>
              </w:rPr>
              <w:fldChar w:fldCharType="end"/>
            </w:r>
          </w:hyperlink>
        </w:p>
        <w:p w14:paraId="1036CD59" w14:textId="7A2D9980" w:rsidR="0026570C" w:rsidRDefault="00000000">
          <w:pPr>
            <w:pStyle w:val="TOC2"/>
            <w:rPr>
              <w:rFonts w:asciiTheme="minorHAnsi" w:hAnsiTheme="minorHAnsi" w:cstheme="minorBidi"/>
              <w:b w:val="0"/>
              <w:bCs w:val="0"/>
              <w:kern w:val="2"/>
              <w:szCs w:val="24"/>
              <w14:ligatures w14:val="standardContextual"/>
            </w:rPr>
          </w:pPr>
          <w:hyperlink w:anchor="_Toc161355125" w:history="1">
            <w:r w:rsidR="0026570C" w:rsidRPr="00A4476D">
              <w:rPr>
                <w:rStyle w:val="a4"/>
              </w:rPr>
              <w:t>3.4</w:t>
            </w:r>
            <w:r w:rsidR="0026570C">
              <w:rPr>
                <w:rFonts w:asciiTheme="minorHAnsi" w:hAnsiTheme="minorHAnsi" w:cstheme="minorBidi"/>
                <w:b w:val="0"/>
                <w:bCs w:val="0"/>
                <w:kern w:val="2"/>
                <w:szCs w:val="24"/>
                <w14:ligatures w14:val="standardContextual"/>
              </w:rPr>
              <w:tab/>
            </w:r>
            <w:r w:rsidR="0026570C" w:rsidRPr="00A4476D">
              <w:rPr>
                <w:rStyle w:val="a4"/>
              </w:rPr>
              <w:t>Alleged preferential financing</w:t>
            </w:r>
            <w:r w:rsidR="0026570C">
              <w:rPr>
                <w:webHidden/>
              </w:rPr>
              <w:tab/>
            </w:r>
            <w:r w:rsidR="0026570C">
              <w:rPr>
                <w:webHidden/>
              </w:rPr>
              <w:fldChar w:fldCharType="begin"/>
            </w:r>
            <w:r w:rsidR="0026570C">
              <w:rPr>
                <w:webHidden/>
              </w:rPr>
              <w:instrText xml:space="preserve"> PAGEREF _Toc161355125 \h </w:instrText>
            </w:r>
            <w:r w:rsidR="0026570C">
              <w:rPr>
                <w:webHidden/>
              </w:rPr>
            </w:r>
            <w:r w:rsidR="0026570C">
              <w:rPr>
                <w:webHidden/>
              </w:rPr>
              <w:fldChar w:fldCharType="separate"/>
            </w:r>
            <w:r w:rsidR="0026570C">
              <w:rPr>
                <w:webHidden/>
              </w:rPr>
              <w:t>19</w:t>
            </w:r>
            <w:r w:rsidR="0026570C">
              <w:rPr>
                <w:webHidden/>
              </w:rPr>
              <w:fldChar w:fldCharType="end"/>
            </w:r>
          </w:hyperlink>
        </w:p>
        <w:p w14:paraId="217095EB" w14:textId="21A5C399"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26" w:history="1">
            <w:r w:rsidR="0026570C" w:rsidRPr="00A4476D">
              <w:rPr>
                <w:rStyle w:val="a4"/>
                <w:rFonts w:ascii="Arial" w:hAnsi="Arial" w:cs="Arial"/>
                <w:b/>
                <w:bCs/>
                <w:noProof/>
              </w:rPr>
              <w:t>3.4.1</w:t>
            </w:r>
            <w:r w:rsidR="0026570C">
              <w:rPr>
                <w:rFonts w:cstheme="minorBidi"/>
                <w:noProof/>
                <w:kern w:val="2"/>
                <w:szCs w:val="24"/>
                <w:lang w:eastAsia="zh-CN"/>
                <w14:ligatures w14:val="standardContextual"/>
              </w:rPr>
              <w:tab/>
            </w:r>
            <w:r w:rsidR="0026570C" w:rsidRPr="00A4476D">
              <w:rPr>
                <w:rStyle w:val="a4"/>
                <w:rFonts w:ascii="Arial" w:hAnsi="Arial" w:cs="Arial"/>
                <w:b/>
                <w:bCs/>
                <w:noProof/>
              </w:rPr>
              <w:t>Alleged referential loans by state-owned commercial banks</w:t>
            </w:r>
            <w:r w:rsidR="0026570C">
              <w:rPr>
                <w:noProof/>
                <w:webHidden/>
              </w:rPr>
              <w:tab/>
            </w:r>
            <w:r w:rsidR="0026570C">
              <w:rPr>
                <w:noProof/>
                <w:webHidden/>
              </w:rPr>
              <w:fldChar w:fldCharType="begin"/>
            </w:r>
            <w:r w:rsidR="0026570C">
              <w:rPr>
                <w:noProof/>
                <w:webHidden/>
              </w:rPr>
              <w:instrText xml:space="preserve"> PAGEREF _Toc161355126 \h </w:instrText>
            </w:r>
            <w:r w:rsidR="0026570C">
              <w:rPr>
                <w:noProof/>
                <w:webHidden/>
              </w:rPr>
            </w:r>
            <w:r w:rsidR="0026570C">
              <w:rPr>
                <w:noProof/>
                <w:webHidden/>
              </w:rPr>
              <w:fldChar w:fldCharType="separate"/>
            </w:r>
            <w:r w:rsidR="0026570C">
              <w:rPr>
                <w:noProof/>
                <w:webHidden/>
              </w:rPr>
              <w:t>20</w:t>
            </w:r>
            <w:r w:rsidR="0026570C">
              <w:rPr>
                <w:noProof/>
                <w:webHidden/>
              </w:rPr>
              <w:fldChar w:fldCharType="end"/>
            </w:r>
          </w:hyperlink>
        </w:p>
        <w:p w14:paraId="77340FE4" w14:textId="4AE65370"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27" w:history="1">
            <w:r w:rsidR="0026570C" w:rsidRPr="00A4476D">
              <w:rPr>
                <w:rStyle w:val="a4"/>
                <w:rFonts w:ascii="Arial" w:eastAsia="Times New Roman" w:hAnsi="Arial" w:cs="Arial"/>
                <w:b/>
                <w:bCs/>
                <w:noProof/>
              </w:rPr>
              <w:t>3.4.2</w:t>
            </w:r>
            <w:r w:rsidR="0026570C">
              <w:rPr>
                <w:rFonts w:cstheme="minorBidi"/>
                <w:noProof/>
                <w:kern w:val="2"/>
                <w:szCs w:val="24"/>
                <w:lang w:eastAsia="zh-CN"/>
                <w14:ligatures w14:val="standardContextual"/>
              </w:rPr>
              <w:tab/>
            </w:r>
            <w:r w:rsidR="0026570C" w:rsidRPr="00A4476D">
              <w:rPr>
                <w:rStyle w:val="a4"/>
                <w:rFonts w:ascii="Arial" w:eastAsia="Times New Roman" w:hAnsi="Arial" w:cs="Arial"/>
                <w:b/>
                <w:bCs/>
                <w:noProof/>
              </w:rPr>
              <w:t>Allegedly preferential credit lines</w:t>
            </w:r>
            <w:r w:rsidR="0026570C">
              <w:rPr>
                <w:noProof/>
                <w:webHidden/>
              </w:rPr>
              <w:tab/>
            </w:r>
            <w:r w:rsidR="0026570C">
              <w:rPr>
                <w:noProof/>
                <w:webHidden/>
              </w:rPr>
              <w:fldChar w:fldCharType="begin"/>
            </w:r>
            <w:r w:rsidR="0026570C">
              <w:rPr>
                <w:noProof/>
                <w:webHidden/>
              </w:rPr>
              <w:instrText xml:space="preserve"> PAGEREF _Toc161355127 \h </w:instrText>
            </w:r>
            <w:r w:rsidR="0026570C">
              <w:rPr>
                <w:noProof/>
                <w:webHidden/>
              </w:rPr>
            </w:r>
            <w:r w:rsidR="0026570C">
              <w:rPr>
                <w:noProof/>
                <w:webHidden/>
              </w:rPr>
              <w:fldChar w:fldCharType="separate"/>
            </w:r>
            <w:r w:rsidR="0026570C">
              <w:rPr>
                <w:noProof/>
                <w:webHidden/>
              </w:rPr>
              <w:t>23</w:t>
            </w:r>
            <w:r w:rsidR="0026570C">
              <w:rPr>
                <w:noProof/>
                <w:webHidden/>
              </w:rPr>
              <w:fldChar w:fldCharType="end"/>
            </w:r>
          </w:hyperlink>
        </w:p>
        <w:p w14:paraId="23528E86" w14:textId="72471B9A"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28" w:history="1">
            <w:r w:rsidR="0026570C" w:rsidRPr="00A4476D">
              <w:rPr>
                <w:rStyle w:val="a4"/>
                <w:rFonts w:ascii="Arial" w:eastAsia="Times New Roman" w:hAnsi="Arial" w:cs="Arial"/>
                <w:b/>
                <w:bCs/>
                <w:noProof/>
              </w:rPr>
              <w:t>3.4.3</w:t>
            </w:r>
            <w:r w:rsidR="0026570C">
              <w:rPr>
                <w:rFonts w:cstheme="minorBidi"/>
                <w:noProof/>
                <w:kern w:val="2"/>
                <w:szCs w:val="24"/>
                <w:lang w:eastAsia="zh-CN"/>
                <w14:ligatures w14:val="standardContextual"/>
              </w:rPr>
              <w:tab/>
            </w:r>
            <w:r w:rsidR="0026570C" w:rsidRPr="00A4476D">
              <w:rPr>
                <w:rStyle w:val="a4"/>
                <w:rFonts w:ascii="Arial" w:eastAsia="Times New Roman" w:hAnsi="Arial" w:cs="Arial"/>
                <w:b/>
                <w:bCs/>
                <w:noProof/>
              </w:rPr>
              <w:t>Preferential financing through corporate bonds and convertible corporate bonds</w:t>
            </w:r>
            <w:r w:rsidR="0026570C">
              <w:rPr>
                <w:noProof/>
                <w:webHidden/>
              </w:rPr>
              <w:tab/>
            </w:r>
            <w:r w:rsidR="0026570C">
              <w:rPr>
                <w:noProof/>
                <w:webHidden/>
              </w:rPr>
              <w:fldChar w:fldCharType="begin"/>
            </w:r>
            <w:r w:rsidR="0026570C">
              <w:rPr>
                <w:noProof/>
                <w:webHidden/>
              </w:rPr>
              <w:instrText xml:space="preserve"> PAGEREF _Toc161355128 \h </w:instrText>
            </w:r>
            <w:r w:rsidR="0026570C">
              <w:rPr>
                <w:noProof/>
                <w:webHidden/>
              </w:rPr>
            </w:r>
            <w:r w:rsidR="0026570C">
              <w:rPr>
                <w:noProof/>
                <w:webHidden/>
              </w:rPr>
              <w:fldChar w:fldCharType="separate"/>
            </w:r>
            <w:r w:rsidR="0026570C">
              <w:rPr>
                <w:noProof/>
                <w:webHidden/>
              </w:rPr>
              <w:t>25</w:t>
            </w:r>
            <w:r w:rsidR="0026570C">
              <w:rPr>
                <w:noProof/>
                <w:webHidden/>
              </w:rPr>
              <w:fldChar w:fldCharType="end"/>
            </w:r>
          </w:hyperlink>
        </w:p>
        <w:p w14:paraId="3132655A" w14:textId="1A16F059" w:rsidR="0026570C" w:rsidRDefault="00000000">
          <w:pPr>
            <w:pStyle w:val="TOC2"/>
            <w:rPr>
              <w:rFonts w:asciiTheme="minorHAnsi" w:hAnsiTheme="minorHAnsi" w:cstheme="minorBidi"/>
              <w:b w:val="0"/>
              <w:bCs w:val="0"/>
              <w:kern w:val="2"/>
              <w:szCs w:val="24"/>
              <w14:ligatures w14:val="standardContextual"/>
            </w:rPr>
          </w:pPr>
          <w:hyperlink w:anchor="_Toc161355129" w:history="1">
            <w:r w:rsidR="0026570C" w:rsidRPr="00A4476D">
              <w:rPr>
                <w:rStyle w:val="a4"/>
              </w:rPr>
              <w:t>3.5</w:t>
            </w:r>
            <w:r w:rsidR="0026570C">
              <w:rPr>
                <w:rFonts w:asciiTheme="minorHAnsi" w:hAnsiTheme="minorHAnsi" w:cstheme="minorBidi"/>
                <w:b w:val="0"/>
                <w:bCs w:val="0"/>
                <w:kern w:val="2"/>
                <w:szCs w:val="24"/>
                <w14:ligatures w14:val="standardContextual"/>
              </w:rPr>
              <w:tab/>
            </w:r>
            <w:r w:rsidR="0026570C" w:rsidRPr="00A4476D">
              <w:rPr>
                <w:rStyle w:val="a4"/>
              </w:rPr>
              <w:t>Alleged provision of goods and services at less than adequate remuneration</w:t>
            </w:r>
            <w:r w:rsidR="0026570C">
              <w:rPr>
                <w:webHidden/>
              </w:rPr>
              <w:tab/>
            </w:r>
            <w:r w:rsidR="0026570C">
              <w:rPr>
                <w:webHidden/>
              </w:rPr>
              <w:fldChar w:fldCharType="begin"/>
            </w:r>
            <w:r w:rsidR="0026570C">
              <w:rPr>
                <w:webHidden/>
              </w:rPr>
              <w:instrText xml:space="preserve"> PAGEREF _Toc161355129 \h </w:instrText>
            </w:r>
            <w:r w:rsidR="0026570C">
              <w:rPr>
                <w:webHidden/>
              </w:rPr>
            </w:r>
            <w:r w:rsidR="0026570C">
              <w:rPr>
                <w:webHidden/>
              </w:rPr>
              <w:fldChar w:fldCharType="separate"/>
            </w:r>
            <w:r w:rsidR="0026570C">
              <w:rPr>
                <w:webHidden/>
              </w:rPr>
              <w:t>27</w:t>
            </w:r>
            <w:r w:rsidR="0026570C">
              <w:rPr>
                <w:webHidden/>
              </w:rPr>
              <w:fldChar w:fldCharType="end"/>
            </w:r>
          </w:hyperlink>
        </w:p>
        <w:p w14:paraId="7566E9C9" w14:textId="0DAD5A94"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30" w:history="1">
            <w:r w:rsidR="0026570C" w:rsidRPr="00A4476D">
              <w:rPr>
                <w:rStyle w:val="a4"/>
                <w:rFonts w:ascii="Arial" w:hAnsi="Arial" w:cs="Arial"/>
                <w:b/>
                <w:bCs/>
                <w:noProof/>
              </w:rPr>
              <w:t>3.5.1</w:t>
            </w:r>
            <w:r w:rsidR="0026570C">
              <w:rPr>
                <w:rFonts w:cstheme="minorBidi"/>
                <w:noProof/>
                <w:kern w:val="2"/>
                <w:szCs w:val="24"/>
                <w:lang w:eastAsia="zh-CN"/>
                <w14:ligatures w14:val="standardContextual"/>
              </w:rPr>
              <w:tab/>
            </w:r>
            <w:r w:rsidR="0026570C" w:rsidRPr="00A4476D">
              <w:rPr>
                <w:rStyle w:val="a4"/>
                <w:rFonts w:ascii="Arial" w:eastAsia="Times New Roman" w:hAnsi="Arial" w:cs="Arial"/>
                <w:b/>
                <w:bCs/>
                <w:noProof/>
              </w:rPr>
              <w:t>Alleged provision of land-use rights at LTAR</w:t>
            </w:r>
            <w:r w:rsidR="0026570C">
              <w:rPr>
                <w:noProof/>
                <w:webHidden/>
              </w:rPr>
              <w:tab/>
            </w:r>
            <w:r w:rsidR="0026570C">
              <w:rPr>
                <w:noProof/>
                <w:webHidden/>
              </w:rPr>
              <w:fldChar w:fldCharType="begin"/>
            </w:r>
            <w:r w:rsidR="0026570C">
              <w:rPr>
                <w:noProof/>
                <w:webHidden/>
              </w:rPr>
              <w:instrText xml:space="preserve"> PAGEREF _Toc161355130 \h </w:instrText>
            </w:r>
            <w:r w:rsidR="0026570C">
              <w:rPr>
                <w:noProof/>
                <w:webHidden/>
              </w:rPr>
            </w:r>
            <w:r w:rsidR="0026570C">
              <w:rPr>
                <w:noProof/>
                <w:webHidden/>
              </w:rPr>
              <w:fldChar w:fldCharType="separate"/>
            </w:r>
            <w:r w:rsidR="0026570C">
              <w:rPr>
                <w:noProof/>
                <w:webHidden/>
              </w:rPr>
              <w:t>27</w:t>
            </w:r>
            <w:r w:rsidR="0026570C">
              <w:rPr>
                <w:noProof/>
                <w:webHidden/>
              </w:rPr>
              <w:fldChar w:fldCharType="end"/>
            </w:r>
          </w:hyperlink>
        </w:p>
        <w:p w14:paraId="0823B7CA" w14:textId="2061A549"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31" w:history="1">
            <w:r w:rsidR="0026570C" w:rsidRPr="00A4476D">
              <w:rPr>
                <w:rStyle w:val="a4"/>
                <w:rFonts w:ascii="Arial" w:hAnsi="Arial" w:cs="Arial"/>
                <w:b/>
                <w:bCs/>
                <w:noProof/>
              </w:rPr>
              <w:t>3.5.2</w:t>
            </w:r>
            <w:r w:rsidR="0026570C">
              <w:rPr>
                <w:rFonts w:cstheme="minorBidi"/>
                <w:noProof/>
                <w:kern w:val="2"/>
                <w:szCs w:val="24"/>
                <w:lang w:eastAsia="zh-CN"/>
                <w14:ligatures w14:val="standardContextual"/>
              </w:rPr>
              <w:tab/>
            </w:r>
            <w:r w:rsidR="0026570C" w:rsidRPr="00A4476D">
              <w:rPr>
                <w:rStyle w:val="a4"/>
                <w:rFonts w:ascii="Arial" w:eastAsia="Times New Roman" w:hAnsi="Arial" w:cs="Arial"/>
                <w:b/>
                <w:bCs/>
                <w:noProof/>
              </w:rPr>
              <w:t xml:space="preserve">Alleged provision of </w:t>
            </w:r>
            <w:r w:rsidR="0026570C" w:rsidRPr="00A4476D">
              <w:rPr>
                <w:rStyle w:val="a4"/>
                <w:rFonts w:ascii="Arial" w:hAnsi="Arial" w:cs="Arial"/>
                <w:b/>
                <w:bCs/>
                <w:noProof/>
              </w:rPr>
              <w:t>raw material</w:t>
            </w:r>
            <w:r w:rsidR="0026570C" w:rsidRPr="00A4476D">
              <w:rPr>
                <w:rStyle w:val="a4"/>
                <w:rFonts w:ascii="Arial" w:eastAsia="Times New Roman" w:hAnsi="Arial" w:cs="Arial"/>
                <w:b/>
                <w:bCs/>
                <w:noProof/>
              </w:rPr>
              <w:t xml:space="preserve"> at LTAR</w:t>
            </w:r>
            <w:r w:rsidR="0026570C">
              <w:rPr>
                <w:noProof/>
                <w:webHidden/>
              </w:rPr>
              <w:tab/>
            </w:r>
            <w:r w:rsidR="0026570C">
              <w:rPr>
                <w:noProof/>
                <w:webHidden/>
              </w:rPr>
              <w:fldChar w:fldCharType="begin"/>
            </w:r>
            <w:r w:rsidR="0026570C">
              <w:rPr>
                <w:noProof/>
                <w:webHidden/>
              </w:rPr>
              <w:instrText xml:space="preserve"> PAGEREF _Toc161355131 \h </w:instrText>
            </w:r>
            <w:r w:rsidR="0026570C">
              <w:rPr>
                <w:noProof/>
                <w:webHidden/>
              </w:rPr>
            </w:r>
            <w:r w:rsidR="0026570C">
              <w:rPr>
                <w:noProof/>
                <w:webHidden/>
              </w:rPr>
              <w:fldChar w:fldCharType="separate"/>
            </w:r>
            <w:r w:rsidR="0026570C">
              <w:rPr>
                <w:noProof/>
                <w:webHidden/>
              </w:rPr>
              <w:t>31</w:t>
            </w:r>
            <w:r w:rsidR="0026570C">
              <w:rPr>
                <w:noProof/>
                <w:webHidden/>
              </w:rPr>
              <w:fldChar w:fldCharType="end"/>
            </w:r>
          </w:hyperlink>
        </w:p>
        <w:p w14:paraId="5D4E65EC" w14:textId="1DDD0CD5"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32" w:history="1">
            <w:r w:rsidR="0026570C" w:rsidRPr="00A4476D">
              <w:rPr>
                <w:rStyle w:val="a4"/>
                <w:rFonts w:ascii="Arial" w:hAnsi="Arial" w:cs="Arial"/>
                <w:b/>
                <w:bCs/>
                <w:noProof/>
              </w:rPr>
              <w:t>3.5.3</w:t>
            </w:r>
            <w:r w:rsidR="0026570C">
              <w:rPr>
                <w:rFonts w:cstheme="minorBidi"/>
                <w:noProof/>
                <w:kern w:val="2"/>
                <w:szCs w:val="24"/>
                <w:lang w:eastAsia="zh-CN"/>
                <w14:ligatures w14:val="standardContextual"/>
              </w:rPr>
              <w:tab/>
            </w:r>
            <w:r w:rsidR="0026570C" w:rsidRPr="00A4476D">
              <w:rPr>
                <w:rStyle w:val="a4"/>
                <w:rFonts w:ascii="Arial" w:eastAsia="Times New Roman" w:hAnsi="Arial" w:cs="Arial"/>
                <w:b/>
                <w:bCs/>
                <w:noProof/>
              </w:rPr>
              <w:t xml:space="preserve">Alleged provision of </w:t>
            </w:r>
            <w:r w:rsidR="0026570C" w:rsidRPr="00A4476D">
              <w:rPr>
                <w:rStyle w:val="a4"/>
                <w:rFonts w:ascii="Arial" w:hAnsi="Arial" w:cs="Arial"/>
                <w:b/>
                <w:bCs/>
                <w:noProof/>
              </w:rPr>
              <w:t>electricity</w:t>
            </w:r>
            <w:r w:rsidR="0026570C" w:rsidRPr="00A4476D">
              <w:rPr>
                <w:rStyle w:val="a4"/>
                <w:rFonts w:ascii="Arial" w:eastAsia="Times New Roman" w:hAnsi="Arial" w:cs="Arial"/>
                <w:b/>
                <w:bCs/>
                <w:noProof/>
              </w:rPr>
              <w:t xml:space="preserve"> at LTAR</w:t>
            </w:r>
            <w:r w:rsidR="0026570C">
              <w:rPr>
                <w:noProof/>
                <w:webHidden/>
              </w:rPr>
              <w:tab/>
            </w:r>
            <w:r w:rsidR="0026570C">
              <w:rPr>
                <w:noProof/>
                <w:webHidden/>
              </w:rPr>
              <w:fldChar w:fldCharType="begin"/>
            </w:r>
            <w:r w:rsidR="0026570C">
              <w:rPr>
                <w:noProof/>
                <w:webHidden/>
              </w:rPr>
              <w:instrText xml:space="preserve"> PAGEREF _Toc161355132 \h </w:instrText>
            </w:r>
            <w:r w:rsidR="0026570C">
              <w:rPr>
                <w:noProof/>
                <w:webHidden/>
              </w:rPr>
            </w:r>
            <w:r w:rsidR="0026570C">
              <w:rPr>
                <w:noProof/>
                <w:webHidden/>
              </w:rPr>
              <w:fldChar w:fldCharType="separate"/>
            </w:r>
            <w:r w:rsidR="0026570C">
              <w:rPr>
                <w:noProof/>
                <w:webHidden/>
              </w:rPr>
              <w:t>33</w:t>
            </w:r>
            <w:r w:rsidR="0026570C">
              <w:rPr>
                <w:noProof/>
                <w:webHidden/>
              </w:rPr>
              <w:fldChar w:fldCharType="end"/>
            </w:r>
          </w:hyperlink>
        </w:p>
        <w:p w14:paraId="23A8E8A6" w14:textId="5EEF5263"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33" w:history="1">
            <w:r w:rsidR="0026570C" w:rsidRPr="00A4476D">
              <w:rPr>
                <w:rStyle w:val="a4"/>
                <w:rFonts w:ascii="Arial" w:hAnsi="Arial" w:cs="Arial"/>
                <w:b/>
                <w:bCs/>
                <w:noProof/>
              </w:rPr>
              <w:t>3.5.4</w:t>
            </w:r>
            <w:r w:rsidR="0026570C">
              <w:rPr>
                <w:rFonts w:cstheme="minorBidi"/>
                <w:noProof/>
                <w:kern w:val="2"/>
                <w:szCs w:val="24"/>
                <w:lang w:eastAsia="zh-CN"/>
                <w14:ligatures w14:val="standardContextual"/>
              </w:rPr>
              <w:tab/>
            </w:r>
            <w:r w:rsidR="0026570C" w:rsidRPr="00A4476D">
              <w:rPr>
                <w:rStyle w:val="a4"/>
                <w:rFonts w:ascii="Arial" w:eastAsia="Times New Roman" w:hAnsi="Arial" w:cs="Arial"/>
                <w:b/>
                <w:bCs/>
                <w:noProof/>
              </w:rPr>
              <w:t xml:space="preserve">Alleged provision of </w:t>
            </w:r>
            <w:r w:rsidR="0026570C" w:rsidRPr="00A4476D">
              <w:rPr>
                <w:rStyle w:val="a4"/>
                <w:rFonts w:ascii="Arial" w:hAnsi="Arial" w:cs="Arial"/>
                <w:b/>
                <w:bCs/>
                <w:noProof/>
              </w:rPr>
              <w:t>export credit insurance</w:t>
            </w:r>
            <w:r w:rsidR="0026570C" w:rsidRPr="00A4476D">
              <w:rPr>
                <w:rStyle w:val="a4"/>
                <w:rFonts w:ascii="Arial" w:eastAsia="Times New Roman" w:hAnsi="Arial" w:cs="Arial"/>
                <w:b/>
                <w:bCs/>
                <w:noProof/>
              </w:rPr>
              <w:t xml:space="preserve"> at LTAR</w:t>
            </w:r>
            <w:r w:rsidR="0026570C">
              <w:rPr>
                <w:noProof/>
                <w:webHidden/>
              </w:rPr>
              <w:tab/>
            </w:r>
            <w:r w:rsidR="0026570C">
              <w:rPr>
                <w:noProof/>
                <w:webHidden/>
              </w:rPr>
              <w:fldChar w:fldCharType="begin"/>
            </w:r>
            <w:r w:rsidR="0026570C">
              <w:rPr>
                <w:noProof/>
                <w:webHidden/>
              </w:rPr>
              <w:instrText xml:space="preserve"> PAGEREF _Toc161355133 \h </w:instrText>
            </w:r>
            <w:r w:rsidR="0026570C">
              <w:rPr>
                <w:noProof/>
                <w:webHidden/>
              </w:rPr>
            </w:r>
            <w:r w:rsidR="0026570C">
              <w:rPr>
                <w:noProof/>
                <w:webHidden/>
              </w:rPr>
              <w:fldChar w:fldCharType="separate"/>
            </w:r>
            <w:r w:rsidR="0026570C">
              <w:rPr>
                <w:noProof/>
                <w:webHidden/>
              </w:rPr>
              <w:t>35</w:t>
            </w:r>
            <w:r w:rsidR="0026570C">
              <w:rPr>
                <w:noProof/>
                <w:webHidden/>
              </w:rPr>
              <w:fldChar w:fldCharType="end"/>
            </w:r>
          </w:hyperlink>
        </w:p>
        <w:p w14:paraId="21F200F2" w14:textId="59ADCB63" w:rsidR="0026570C" w:rsidRDefault="00000000">
          <w:pPr>
            <w:pStyle w:val="TOC3"/>
            <w:tabs>
              <w:tab w:val="left" w:pos="1320"/>
              <w:tab w:val="right" w:leader="dot" w:pos="9016"/>
            </w:tabs>
            <w:rPr>
              <w:rFonts w:cstheme="minorBidi"/>
              <w:noProof/>
              <w:kern w:val="2"/>
              <w:szCs w:val="24"/>
              <w:lang w:eastAsia="zh-CN"/>
              <w14:ligatures w14:val="standardContextual"/>
            </w:rPr>
          </w:pPr>
          <w:hyperlink w:anchor="_Toc161355134" w:history="1">
            <w:r w:rsidR="0026570C" w:rsidRPr="00A4476D">
              <w:rPr>
                <w:rStyle w:val="a4"/>
                <w:rFonts w:ascii="Arial" w:hAnsi="Arial" w:cs="Arial"/>
                <w:b/>
                <w:bCs/>
                <w:noProof/>
              </w:rPr>
              <w:t>3.5.5</w:t>
            </w:r>
            <w:r w:rsidR="0026570C">
              <w:rPr>
                <w:rFonts w:cstheme="minorBidi"/>
                <w:noProof/>
                <w:kern w:val="2"/>
                <w:szCs w:val="24"/>
                <w:lang w:eastAsia="zh-CN"/>
                <w14:ligatures w14:val="standardContextual"/>
              </w:rPr>
              <w:tab/>
            </w:r>
            <w:r w:rsidR="0026570C" w:rsidRPr="00A4476D">
              <w:rPr>
                <w:rStyle w:val="a4"/>
                <w:rFonts w:ascii="Arial" w:eastAsia="Times New Roman" w:hAnsi="Arial" w:cs="Arial"/>
                <w:b/>
                <w:bCs/>
                <w:noProof/>
              </w:rPr>
              <w:t xml:space="preserve">Alleged provision of </w:t>
            </w:r>
            <w:r w:rsidR="0026570C" w:rsidRPr="00A4476D">
              <w:rPr>
                <w:rStyle w:val="a4"/>
                <w:rFonts w:ascii="Arial" w:hAnsi="Arial" w:cs="Arial"/>
                <w:b/>
                <w:bCs/>
                <w:noProof/>
              </w:rPr>
              <w:t>shipping and logistics services at LTAR</w:t>
            </w:r>
            <w:r w:rsidR="0026570C">
              <w:rPr>
                <w:noProof/>
                <w:webHidden/>
              </w:rPr>
              <w:tab/>
            </w:r>
            <w:r w:rsidR="0026570C">
              <w:rPr>
                <w:noProof/>
                <w:webHidden/>
              </w:rPr>
              <w:fldChar w:fldCharType="begin"/>
            </w:r>
            <w:r w:rsidR="0026570C">
              <w:rPr>
                <w:noProof/>
                <w:webHidden/>
              </w:rPr>
              <w:instrText xml:space="preserve"> PAGEREF _Toc161355134 \h </w:instrText>
            </w:r>
            <w:r w:rsidR="0026570C">
              <w:rPr>
                <w:noProof/>
                <w:webHidden/>
              </w:rPr>
            </w:r>
            <w:r w:rsidR="0026570C">
              <w:rPr>
                <w:noProof/>
                <w:webHidden/>
              </w:rPr>
              <w:fldChar w:fldCharType="separate"/>
            </w:r>
            <w:r w:rsidR="0026570C">
              <w:rPr>
                <w:noProof/>
                <w:webHidden/>
              </w:rPr>
              <w:t>38</w:t>
            </w:r>
            <w:r w:rsidR="0026570C">
              <w:rPr>
                <w:noProof/>
                <w:webHidden/>
              </w:rPr>
              <w:fldChar w:fldCharType="end"/>
            </w:r>
          </w:hyperlink>
        </w:p>
        <w:p w14:paraId="5C1B192E" w14:textId="178F2E57" w:rsidR="0026570C" w:rsidRDefault="00000000">
          <w:pPr>
            <w:pStyle w:val="TOC3"/>
            <w:tabs>
              <w:tab w:val="left" w:pos="1100"/>
              <w:tab w:val="right" w:leader="dot" w:pos="9016"/>
            </w:tabs>
            <w:rPr>
              <w:rFonts w:cstheme="minorBidi"/>
              <w:noProof/>
              <w:kern w:val="2"/>
              <w:szCs w:val="24"/>
              <w:lang w:eastAsia="zh-CN"/>
              <w14:ligatures w14:val="standardContextual"/>
            </w:rPr>
          </w:pPr>
          <w:hyperlink w:anchor="_Toc161355135" w:history="1">
            <w:r w:rsidR="0026570C" w:rsidRPr="00A4476D">
              <w:rPr>
                <w:rStyle w:val="a4"/>
                <w:rFonts w:ascii="Arial" w:hAnsi="Arial" w:cs="Arial"/>
                <w:b/>
                <w:bCs/>
                <w:noProof/>
              </w:rPr>
              <w:t>3.6</w:t>
            </w:r>
            <w:r w:rsidR="0026570C">
              <w:rPr>
                <w:rFonts w:cstheme="minorBidi"/>
                <w:noProof/>
                <w:kern w:val="2"/>
                <w:szCs w:val="24"/>
                <w:lang w:eastAsia="zh-CN"/>
                <w14:ligatures w14:val="standardContextual"/>
              </w:rPr>
              <w:tab/>
            </w:r>
            <w:r w:rsidR="0026570C" w:rsidRPr="00A4476D">
              <w:rPr>
                <w:rStyle w:val="a4"/>
                <w:rFonts w:ascii="Arial" w:hAnsi="Arial" w:cs="Arial"/>
                <w:b/>
                <w:bCs/>
                <w:noProof/>
              </w:rPr>
              <w:t>Other subsidies provided in special economic zones</w:t>
            </w:r>
            <w:r w:rsidR="0026570C">
              <w:rPr>
                <w:noProof/>
                <w:webHidden/>
              </w:rPr>
              <w:tab/>
            </w:r>
            <w:r w:rsidR="0026570C">
              <w:rPr>
                <w:noProof/>
                <w:webHidden/>
              </w:rPr>
              <w:fldChar w:fldCharType="begin"/>
            </w:r>
            <w:r w:rsidR="0026570C">
              <w:rPr>
                <w:noProof/>
                <w:webHidden/>
              </w:rPr>
              <w:instrText xml:space="preserve"> PAGEREF _Toc161355135 \h </w:instrText>
            </w:r>
            <w:r w:rsidR="0026570C">
              <w:rPr>
                <w:noProof/>
                <w:webHidden/>
              </w:rPr>
            </w:r>
            <w:r w:rsidR="0026570C">
              <w:rPr>
                <w:noProof/>
                <w:webHidden/>
              </w:rPr>
              <w:fldChar w:fldCharType="separate"/>
            </w:r>
            <w:r w:rsidR="0026570C">
              <w:rPr>
                <w:noProof/>
                <w:webHidden/>
              </w:rPr>
              <w:t>43</w:t>
            </w:r>
            <w:r w:rsidR="0026570C">
              <w:rPr>
                <w:noProof/>
                <w:webHidden/>
              </w:rPr>
              <w:fldChar w:fldCharType="end"/>
            </w:r>
          </w:hyperlink>
        </w:p>
        <w:p w14:paraId="16A1EEAD" w14:textId="137A65E0" w:rsidR="0026570C" w:rsidRDefault="00000000">
          <w:pPr>
            <w:pStyle w:val="TOC1"/>
            <w:rPr>
              <w:rFonts w:asciiTheme="minorHAnsi" w:hAnsiTheme="minorHAnsi"/>
              <w:b w:val="0"/>
              <w:bCs w:val="0"/>
              <w:caps w:val="0"/>
              <w:noProof/>
              <w:kern w:val="2"/>
              <w:sz w:val="22"/>
              <w14:ligatures w14:val="standardContextual"/>
            </w:rPr>
          </w:pPr>
          <w:hyperlink w:anchor="_Toc161355136" w:history="1">
            <w:r w:rsidR="0026570C" w:rsidRPr="00A4476D">
              <w:rPr>
                <w:rStyle w:val="a4"/>
                <w:noProof/>
              </w:rPr>
              <w:t>4.</w:t>
            </w:r>
            <w:r w:rsidR="0026570C">
              <w:rPr>
                <w:rFonts w:asciiTheme="minorHAnsi" w:hAnsiTheme="minorHAnsi"/>
                <w:b w:val="0"/>
                <w:bCs w:val="0"/>
                <w:caps w:val="0"/>
                <w:noProof/>
                <w:kern w:val="2"/>
                <w:sz w:val="22"/>
                <w14:ligatures w14:val="standardContextual"/>
              </w:rPr>
              <w:tab/>
            </w:r>
            <w:r w:rsidR="0026570C" w:rsidRPr="00A4476D">
              <w:rPr>
                <w:rStyle w:val="a4"/>
                <w:noProof/>
              </w:rPr>
              <w:t>CONCLUSION</w:t>
            </w:r>
            <w:r w:rsidR="0026570C">
              <w:rPr>
                <w:noProof/>
                <w:webHidden/>
              </w:rPr>
              <w:tab/>
            </w:r>
            <w:r w:rsidR="0026570C">
              <w:rPr>
                <w:noProof/>
                <w:webHidden/>
              </w:rPr>
              <w:fldChar w:fldCharType="begin"/>
            </w:r>
            <w:r w:rsidR="0026570C">
              <w:rPr>
                <w:noProof/>
                <w:webHidden/>
              </w:rPr>
              <w:instrText xml:space="preserve"> PAGEREF _Toc161355136 \h </w:instrText>
            </w:r>
            <w:r w:rsidR="0026570C">
              <w:rPr>
                <w:noProof/>
                <w:webHidden/>
              </w:rPr>
            </w:r>
            <w:r w:rsidR="0026570C">
              <w:rPr>
                <w:noProof/>
                <w:webHidden/>
              </w:rPr>
              <w:fldChar w:fldCharType="separate"/>
            </w:r>
            <w:r w:rsidR="0026570C">
              <w:rPr>
                <w:noProof/>
                <w:webHidden/>
              </w:rPr>
              <w:t>44</w:t>
            </w:r>
            <w:r w:rsidR="0026570C">
              <w:rPr>
                <w:noProof/>
                <w:webHidden/>
              </w:rPr>
              <w:fldChar w:fldCharType="end"/>
            </w:r>
          </w:hyperlink>
        </w:p>
        <w:p w14:paraId="61C3A987" w14:textId="5D4E2B14" w:rsidR="00D40EF5" w:rsidRPr="00D326CF" w:rsidRDefault="00D40EF5" w:rsidP="000760FD">
          <w:pPr>
            <w:tabs>
              <w:tab w:val="left" w:pos="630"/>
            </w:tabs>
            <w:spacing w:line="276" w:lineRule="auto"/>
            <w:rPr>
              <w:rFonts w:ascii="Arial" w:hAnsi="Arial" w:cs="Arial"/>
            </w:rPr>
          </w:pPr>
          <w:r w:rsidRPr="00D326CF">
            <w:rPr>
              <w:rFonts w:ascii="Arial" w:hAnsi="Arial" w:cs="Arial"/>
              <w:b/>
              <w:bCs/>
            </w:rPr>
            <w:fldChar w:fldCharType="end"/>
          </w:r>
        </w:p>
      </w:sdtContent>
    </w:sdt>
    <w:p w14:paraId="67E8C574" w14:textId="5394C216" w:rsidR="00D40EF5" w:rsidRPr="00D326CF" w:rsidRDefault="00D40EF5" w:rsidP="000760FD">
      <w:pPr>
        <w:spacing w:line="276" w:lineRule="auto"/>
        <w:rPr>
          <w:rFonts w:ascii="Arial" w:hAnsi="Arial" w:cs="Arial"/>
          <w:lang w:eastAsia="en-US"/>
        </w:rPr>
      </w:pPr>
    </w:p>
    <w:p w14:paraId="5B37DCD2" w14:textId="77777777" w:rsidR="00805DCD" w:rsidRPr="00D326CF" w:rsidRDefault="00805DCD" w:rsidP="000760FD">
      <w:pPr>
        <w:spacing w:line="276" w:lineRule="auto"/>
        <w:rPr>
          <w:rFonts w:ascii="Arial" w:hAnsi="Arial" w:cs="Arial"/>
          <w:lang w:eastAsia="en-US"/>
        </w:rPr>
      </w:pPr>
    </w:p>
    <w:p w14:paraId="10C030A8" w14:textId="77777777" w:rsidR="000760FD" w:rsidRPr="00D326CF" w:rsidRDefault="000760FD" w:rsidP="000760FD">
      <w:pPr>
        <w:spacing w:line="276" w:lineRule="auto"/>
        <w:rPr>
          <w:rFonts w:ascii="Arial" w:hAnsi="Arial" w:cs="Arial"/>
          <w:lang w:eastAsia="en-US"/>
        </w:rPr>
      </w:pPr>
    </w:p>
    <w:p w14:paraId="5F65ED6A" w14:textId="77777777" w:rsidR="000760FD" w:rsidRPr="00D326CF" w:rsidRDefault="000760FD" w:rsidP="000760FD">
      <w:pPr>
        <w:spacing w:line="276" w:lineRule="auto"/>
        <w:rPr>
          <w:rFonts w:ascii="Arial" w:hAnsi="Arial" w:cs="Arial"/>
          <w:lang w:eastAsia="en-US"/>
        </w:rPr>
      </w:pPr>
    </w:p>
    <w:p w14:paraId="376ECF96" w14:textId="77777777" w:rsidR="000760FD" w:rsidRPr="00131C50" w:rsidRDefault="000760FD" w:rsidP="000760FD">
      <w:pPr>
        <w:spacing w:line="276" w:lineRule="auto"/>
        <w:rPr>
          <w:rFonts w:ascii="Arial" w:hAnsi="Arial" w:cs="Arial"/>
          <w:lang w:eastAsia="en-US"/>
        </w:rPr>
      </w:pPr>
    </w:p>
    <w:p w14:paraId="772A085D" w14:textId="77777777" w:rsidR="000760FD" w:rsidRPr="00131C50" w:rsidRDefault="000760FD" w:rsidP="000760FD">
      <w:pPr>
        <w:spacing w:line="276" w:lineRule="auto"/>
        <w:rPr>
          <w:rFonts w:ascii="Arial" w:hAnsi="Arial" w:cs="Arial"/>
          <w:lang w:eastAsia="en-US"/>
        </w:rPr>
      </w:pPr>
    </w:p>
    <w:p w14:paraId="02A5DEF0" w14:textId="77777777" w:rsidR="000760FD" w:rsidRPr="00131C50" w:rsidRDefault="000760FD" w:rsidP="000760FD">
      <w:pPr>
        <w:spacing w:line="276" w:lineRule="auto"/>
        <w:rPr>
          <w:rFonts w:ascii="Arial" w:hAnsi="Arial" w:cs="Arial"/>
          <w:lang w:eastAsia="en-US"/>
        </w:rPr>
      </w:pPr>
    </w:p>
    <w:p w14:paraId="60737875" w14:textId="77777777" w:rsidR="000760FD" w:rsidRPr="00131C50" w:rsidRDefault="000760FD" w:rsidP="000760FD">
      <w:pPr>
        <w:spacing w:line="276" w:lineRule="auto"/>
        <w:rPr>
          <w:rFonts w:ascii="Arial" w:hAnsi="Arial" w:cs="Arial"/>
          <w:lang w:eastAsia="en-US"/>
        </w:rPr>
      </w:pPr>
    </w:p>
    <w:p w14:paraId="7A9D4BE1" w14:textId="77777777" w:rsidR="000760FD" w:rsidRPr="00131C50" w:rsidRDefault="000760FD" w:rsidP="000760FD">
      <w:pPr>
        <w:spacing w:line="276" w:lineRule="auto"/>
        <w:rPr>
          <w:rFonts w:ascii="Arial" w:hAnsi="Arial" w:cs="Arial"/>
          <w:lang w:eastAsia="en-US"/>
        </w:rPr>
      </w:pPr>
    </w:p>
    <w:p w14:paraId="4291AB8F" w14:textId="77777777" w:rsidR="000760FD" w:rsidRPr="00131C50" w:rsidRDefault="000760FD" w:rsidP="000760FD">
      <w:pPr>
        <w:spacing w:line="276" w:lineRule="auto"/>
        <w:rPr>
          <w:rFonts w:ascii="Arial" w:hAnsi="Arial" w:cs="Arial"/>
          <w:lang w:eastAsia="en-US"/>
        </w:rPr>
      </w:pPr>
    </w:p>
    <w:p w14:paraId="738D509E" w14:textId="77777777" w:rsidR="000760FD" w:rsidRPr="00131C50" w:rsidRDefault="000760FD" w:rsidP="000760FD">
      <w:pPr>
        <w:spacing w:line="276" w:lineRule="auto"/>
        <w:rPr>
          <w:rFonts w:ascii="Arial" w:hAnsi="Arial" w:cs="Arial"/>
          <w:lang w:eastAsia="en-US"/>
        </w:rPr>
      </w:pPr>
    </w:p>
    <w:p w14:paraId="273F8DA9" w14:textId="77777777" w:rsidR="000760FD" w:rsidRPr="00131C50" w:rsidRDefault="000760FD" w:rsidP="000760FD">
      <w:pPr>
        <w:spacing w:line="276" w:lineRule="auto"/>
        <w:rPr>
          <w:rFonts w:ascii="Arial" w:hAnsi="Arial" w:cs="Arial"/>
          <w:lang w:eastAsia="en-US"/>
        </w:rPr>
      </w:pPr>
    </w:p>
    <w:p w14:paraId="0DAA2B20" w14:textId="77777777" w:rsidR="000760FD" w:rsidRPr="00131C50" w:rsidRDefault="000760FD" w:rsidP="000760FD">
      <w:pPr>
        <w:spacing w:line="276" w:lineRule="auto"/>
        <w:rPr>
          <w:rFonts w:ascii="Arial" w:hAnsi="Arial" w:cs="Arial"/>
          <w:lang w:eastAsia="en-US"/>
        </w:rPr>
      </w:pPr>
    </w:p>
    <w:p w14:paraId="7A198331" w14:textId="77777777" w:rsidR="000760FD" w:rsidRPr="00131C50" w:rsidRDefault="000760FD" w:rsidP="000760FD">
      <w:pPr>
        <w:spacing w:line="276" w:lineRule="auto"/>
        <w:rPr>
          <w:rFonts w:ascii="Arial" w:hAnsi="Arial" w:cs="Arial"/>
          <w:lang w:eastAsia="en-US"/>
        </w:rPr>
      </w:pPr>
    </w:p>
    <w:p w14:paraId="677668BA" w14:textId="77777777" w:rsidR="000760FD" w:rsidRPr="00131C50" w:rsidRDefault="000760FD" w:rsidP="000760FD">
      <w:pPr>
        <w:spacing w:line="276" w:lineRule="auto"/>
        <w:rPr>
          <w:rFonts w:ascii="Arial" w:hAnsi="Arial" w:cs="Arial"/>
          <w:sz w:val="20"/>
          <w:szCs w:val="20"/>
          <w:lang w:eastAsia="en-US"/>
        </w:rPr>
      </w:pPr>
    </w:p>
    <w:p w14:paraId="44E67641" w14:textId="77777777" w:rsidR="000760FD" w:rsidRPr="00131C50" w:rsidRDefault="000760FD" w:rsidP="000760FD">
      <w:pPr>
        <w:spacing w:line="276" w:lineRule="auto"/>
        <w:rPr>
          <w:rFonts w:ascii="Arial" w:hAnsi="Arial" w:cs="Arial"/>
          <w:sz w:val="20"/>
          <w:szCs w:val="20"/>
          <w:lang w:eastAsia="en-US"/>
        </w:rPr>
      </w:pPr>
    </w:p>
    <w:p w14:paraId="14469AE5" w14:textId="77777777" w:rsidR="000760FD" w:rsidRPr="00131C50" w:rsidRDefault="000760FD" w:rsidP="000760FD">
      <w:pPr>
        <w:spacing w:line="276" w:lineRule="auto"/>
        <w:rPr>
          <w:rFonts w:ascii="Arial" w:hAnsi="Arial" w:cs="Arial"/>
          <w:sz w:val="20"/>
          <w:szCs w:val="20"/>
          <w:lang w:eastAsia="en-US"/>
        </w:rPr>
      </w:pPr>
    </w:p>
    <w:p w14:paraId="672A6D55" w14:textId="77777777" w:rsidR="000760FD" w:rsidRPr="00131C50" w:rsidRDefault="000760FD" w:rsidP="000760FD">
      <w:pPr>
        <w:spacing w:line="276" w:lineRule="auto"/>
        <w:rPr>
          <w:rFonts w:ascii="Arial" w:hAnsi="Arial" w:cs="Arial"/>
          <w:sz w:val="20"/>
          <w:szCs w:val="20"/>
          <w:lang w:eastAsia="en-US"/>
        </w:rPr>
      </w:pPr>
    </w:p>
    <w:p w14:paraId="6AF578A9" w14:textId="77777777" w:rsidR="000760FD" w:rsidRPr="00131C50" w:rsidRDefault="000760FD" w:rsidP="000760FD">
      <w:pPr>
        <w:spacing w:line="276" w:lineRule="auto"/>
        <w:rPr>
          <w:rFonts w:ascii="Arial" w:hAnsi="Arial" w:cs="Arial"/>
          <w:sz w:val="20"/>
          <w:szCs w:val="20"/>
          <w:lang w:eastAsia="en-US"/>
        </w:rPr>
      </w:pPr>
    </w:p>
    <w:p w14:paraId="63732CD0" w14:textId="77777777" w:rsidR="000760FD" w:rsidRPr="00131C50" w:rsidRDefault="000760FD" w:rsidP="000760FD">
      <w:pPr>
        <w:spacing w:line="276" w:lineRule="auto"/>
        <w:rPr>
          <w:rFonts w:ascii="Arial" w:hAnsi="Arial" w:cs="Arial"/>
          <w:sz w:val="20"/>
          <w:szCs w:val="20"/>
          <w:lang w:eastAsia="en-US"/>
        </w:rPr>
      </w:pPr>
    </w:p>
    <w:p w14:paraId="74E9B0C4" w14:textId="77777777" w:rsidR="000760FD" w:rsidRPr="00131C50" w:rsidRDefault="000760FD" w:rsidP="000760FD">
      <w:pPr>
        <w:spacing w:line="276" w:lineRule="auto"/>
        <w:rPr>
          <w:rFonts w:ascii="Arial" w:hAnsi="Arial" w:cs="Arial"/>
          <w:sz w:val="20"/>
          <w:szCs w:val="20"/>
          <w:lang w:eastAsia="en-US"/>
        </w:rPr>
      </w:pPr>
    </w:p>
    <w:p w14:paraId="6595FF7F" w14:textId="77777777" w:rsidR="000760FD" w:rsidRPr="00131C50" w:rsidRDefault="000760FD" w:rsidP="000760FD">
      <w:pPr>
        <w:spacing w:line="276" w:lineRule="auto"/>
        <w:rPr>
          <w:rFonts w:ascii="Arial" w:hAnsi="Arial" w:cs="Arial"/>
          <w:sz w:val="20"/>
          <w:szCs w:val="20"/>
          <w:lang w:eastAsia="en-US"/>
        </w:rPr>
      </w:pPr>
    </w:p>
    <w:p w14:paraId="733AD0B8" w14:textId="77777777" w:rsidR="000760FD" w:rsidRPr="00131C50" w:rsidRDefault="000760FD" w:rsidP="000760FD">
      <w:pPr>
        <w:spacing w:line="276" w:lineRule="auto"/>
        <w:rPr>
          <w:rFonts w:ascii="Arial" w:hAnsi="Arial" w:cs="Arial"/>
          <w:sz w:val="20"/>
          <w:szCs w:val="20"/>
          <w:lang w:eastAsia="en-US"/>
        </w:rPr>
      </w:pPr>
    </w:p>
    <w:p w14:paraId="1494A6F0" w14:textId="77777777" w:rsidR="000760FD" w:rsidRPr="00131C50" w:rsidRDefault="000760FD" w:rsidP="000760FD">
      <w:pPr>
        <w:spacing w:line="276" w:lineRule="auto"/>
        <w:rPr>
          <w:rFonts w:ascii="Arial" w:hAnsi="Arial" w:cs="Arial"/>
          <w:sz w:val="20"/>
          <w:szCs w:val="20"/>
          <w:lang w:eastAsia="en-US"/>
        </w:rPr>
      </w:pPr>
    </w:p>
    <w:p w14:paraId="77EF70EF" w14:textId="77777777" w:rsidR="000760FD" w:rsidRPr="00131C50" w:rsidRDefault="000760FD" w:rsidP="000760FD">
      <w:pPr>
        <w:spacing w:line="276" w:lineRule="auto"/>
        <w:rPr>
          <w:rFonts w:ascii="Arial" w:hAnsi="Arial" w:cs="Arial"/>
          <w:sz w:val="20"/>
          <w:szCs w:val="20"/>
          <w:lang w:eastAsia="en-US"/>
        </w:rPr>
      </w:pPr>
    </w:p>
    <w:p w14:paraId="3959B3EB" w14:textId="77777777" w:rsidR="000760FD" w:rsidRPr="00131C50" w:rsidRDefault="000760FD" w:rsidP="000760FD">
      <w:pPr>
        <w:spacing w:line="276" w:lineRule="auto"/>
        <w:rPr>
          <w:rFonts w:ascii="Arial" w:hAnsi="Arial" w:cs="Arial"/>
          <w:sz w:val="20"/>
          <w:szCs w:val="20"/>
          <w:lang w:eastAsia="en-US"/>
        </w:rPr>
      </w:pPr>
    </w:p>
    <w:p w14:paraId="68CE6202" w14:textId="77777777" w:rsidR="000760FD" w:rsidRPr="00131C50" w:rsidRDefault="000760FD" w:rsidP="000760FD">
      <w:pPr>
        <w:spacing w:line="276" w:lineRule="auto"/>
        <w:rPr>
          <w:rFonts w:ascii="Arial" w:hAnsi="Arial" w:cs="Arial"/>
          <w:sz w:val="20"/>
          <w:szCs w:val="20"/>
          <w:lang w:eastAsia="en-US"/>
        </w:rPr>
      </w:pPr>
    </w:p>
    <w:p w14:paraId="29E6A15B" w14:textId="77777777" w:rsidR="000760FD" w:rsidRPr="00131C50" w:rsidRDefault="000760FD" w:rsidP="000760FD">
      <w:pPr>
        <w:spacing w:line="276" w:lineRule="auto"/>
        <w:rPr>
          <w:rFonts w:ascii="Arial" w:hAnsi="Arial" w:cs="Arial"/>
          <w:sz w:val="20"/>
          <w:szCs w:val="20"/>
          <w:lang w:eastAsia="en-US"/>
        </w:rPr>
      </w:pPr>
    </w:p>
    <w:p w14:paraId="2B55E7AB" w14:textId="77777777" w:rsidR="000760FD" w:rsidRPr="00131C50" w:rsidRDefault="000760FD" w:rsidP="000760FD">
      <w:pPr>
        <w:spacing w:line="276" w:lineRule="auto"/>
        <w:rPr>
          <w:rFonts w:ascii="Arial" w:hAnsi="Arial" w:cs="Arial"/>
          <w:sz w:val="20"/>
          <w:szCs w:val="20"/>
          <w:lang w:eastAsia="en-US"/>
        </w:rPr>
      </w:pPr>
    </w:p>
    <w:p w14:paraId="7824EE4A" w14:textId="77777777" w:rsidR="000760FD" w:rsidRPr="00131C50" w:rsidRDefault="000760FD" w:rsidP="000760FD">
      <w:pPr>
        <w:spacing w:line="276" w:lineRule="auto"/>
        <w:rPr>
          <w:rFonts w:ascii="Arial" w:hAnsi="Arial" w:cs="Arial"/>
          <w:sz w:val="20"/>
          <w:szCs w:val="20"/>
          <w:lang w:eastAsia="en-US"/>
        </w:rPr>
      </w:pPr>
    </w:p>
    <w:p w14:paraId="2D1B22EA" w14:textId="77777777" w:rsidR="000760FD" w:rsidRPr="00131C50" w:rsidRDefault="000760FD" w:rsidP="000760FD">
      <w:pPr>
        <w:spacing w:line="276" w:lineRule="auto"/>
        <w:rPr>
          <w:rFonts w:ascii="Arial" w:hAnsi="Arial" w:cs="Arial"/>
          <w:sz w:val="20"/>
          <w:szCs w:val="20"/>
          <w:lang w:eastAsia="en-US"/>
        </w:rPr>
      </w:pPr>
    </w:p>
    <w:p w14:paraId="689F2BAA" w14:textId="77777777" w:rsidR="000760FD" w:rsidRPr="00131C50" w:rsidRDefault="000760FD" w:rsidP="000760FD">
      <w:pPr>
        <w:spacing w:line="276" w:lineRule="auto"/>
        <w:rPr>
          <w:rFonts w:ascii="Arial" w:hAnsi="Arial" w:cs="Arial"/>
          <w:sz w:val="20"/>
          <w:szCs w:val="20"/>
          <w:lang w:eastAsia="en-US"/>
        </w:rPr>
      </w:pPr>
    </w:p>
    <w:p w14:paraId="6A974A03" w14:textId="77777777" w:rsidR="000760FD" w:rsidRPr="00131C50" w:rsidRDefault="000760FD" w:rsidP="000760FD">
      <w:pPr>
        <w:spacing w:line="276" w:lineRule="auto"/>
        <w:rPr>
          <w:rFonts w:ascii="Arial" w:hAnsi="Arial" w:cs="Arial"/>
          <w:sz w:val="20"/>
          <w:szCs w:val="20"/>
          <w:lang w:eastAsia="en-US"/>
        </w:rPr>
      </w:pPr>
    </w:p>
    <w:p w14:paraId="035BB3BF" w14:textId="77777777" w:rsidR="000760FD" w:rsidRPr="00131C50" w:rsidRDefault="000760FD" w:rsidP="000760FD">
      <w:pPr>
        <w:spacing w:line="276" w:lineRule="auto"/>
        <w:rPr>
          <w:rFonts w:ascii="Arial" w:hAnsi="Arial" w:cs="Arial"/>
          <w:sz w:val="20"/>
          <w:szCs w:val="20"/>
          <w:lang w:eastAsia="en-US"/>
        </w:rPr>
      </w:pPr>
    </w:p>
    <w:p w14:paraId="7D716DD9" w14:textId="77777777" w:rsidR="00D40EF5" w:rsidRPr="00131C50" w:rsidRDefault="00D40EF5" w:rsidP="00673F74">
      <w:pPr>
        <w:pStyle w:val="1"/>
        <w:spacing w:before="0"/>
        <w:ind w:left="709" w:hanging="709"/>
        <w:rPr>
          <w:caps/>
          <w:lang w:val="en-US"/>
        </w:rPr>
      </w:pPr>
      <w:bookmarkStart w:id="0" w:name="_Toc161355112"/>
      <w:r w:rsidRPr="00131C50">
        <w:rPr>
          <w:caps/>
          <w:lang w:val="en-US"/>
        </w:rPr>
        <w:t>Introduction</w:t>
      </w:r>
      <w:bookmarkEnd w:id="0"/>
      <w:r w:rsidRPr="00131C50">
        <w:rPr>
          <w:caps/>
          <w:lang w:val="en-US"/>
        </w:rPr>
        <w:t xml:space="preserve"> </w:t>
      </w:r>
    </w:p>
    <w:p w14:paraId="039028C1" w14:textId="77777777" w:rsidR="00D40EF5" w:rsidRPr="00131C50" w:rsidRDefault="00D40EF5" w:rsidP="00673F74">
      <w:pPr>
        <w:rPr>
          <w:rFonts w:ascii="Arial" w:hAnsi="Arial" w:cs="Arial"/>
          <w:sz w:val="24"/>
          <w:szCs w:val="24"/>
          <w:lang w:eastAsia="en-US"/>
        </w:rPr>
      </w:pPr>
    </w:p>
    <w:p w14:paraId="236C5695" w14:textId="77777777" w:rsidR="008D3C67" w:rsidRPr="00131C50" w:rsidRDefault="008D3C67" w:rsidP="008D3C67">
      <w:pPr>
        <w:pStyle w:val="Body2"/>
        <w:numPr>
          <w:ilvl w:val="0"/>
          <w:numId w:val="1"/>
        </w:numPr>
        <w:spacing w:after="0" w:line="360" w:lineRule="auto"/>
        <w:ind w:hanging="720"/>
        <w:rPr>
          <w:sz w:val="24"/>
          <w:szCs w:val="24"/>
          <w:lang w:val="en-US"/>
        </w:rPr>
      </w:pPr>
      <w:r w:rsidRPr="00D037DF">
        <w:rPr>
          <w:sz w:val="24"/>
          <w:szCs w:val="24"/>
          <w:lang w:val="en-US"/>
        </w:rPr>
        <w:t>The present submission provides the comments of the Government of the People’s Republic of China (“GOC”) regarding the initiation of the anti-subsidy (“AS”) investigation concerning imports of certain excavators (“product concerned”) originating in the People’s Republic of China (Investigation No. AS0046) of 15 November 2023 and the application (“the Application”) filed by JCB Heavy Products Ltd (“the Applicant”).</w:t>
      </w:r>
    </w:p>
    <w:p w14:paraId="0E425BA3" w14:textId="77777777" w:rsidR="008D3C67" w:rsidRPr="00131C50" w:rsidRDefault="008D3C67" w:rsidP="008D3C67">
      <w:pPr>
        <w:pStyle w:val="a9"/>
        <w:rPr>
          <w:rFonts w:ascii="Arial" w:hAnsi="Arial" w:cs="Arial"/>
          <w:sz w:val="24"/>
          <w:szCs w:val="24"/>
        </w:rPr>
      </w:pPr>
    </w:p>
    <w:p w14:paraId="22C236F6" w14:textId="77777777" w:rsidR="008D3C67" w:rsidRPr="00131C50" w:rsidRDefault="008D3C67" w:rsidP="008D3C67">
      <w:pPr>
        <w:pStyle w:val="Body2"/>
        <w:numPr>
          <w:ilvl w:val="0"/>
          <w:numId w:val="1"/>
        </w:numPr>
        <w:spacing w:after="0" w:line="360" w:lineRule="auto"/>
        <w:ind w:hanging="720"/>
        <w:rPr>
          <w:sz w:val="24"/>
          <w:szCs w:val="24"/>
          <w:lang w:val="en-US"/>
        </w:rPr>
      </w:pPr>
      <w:r w:rsidRPr="00D037DF">
        <w:rPr>
          <w:sz w:val="24"/>
          <w:szCs w:val="24"/>
          <w:lang w:val="en-US"/>
        </w:rPr>
        <w:lastRenderedPageBreak/>
        <w:t>The GOC intends to fully cooperate in this AS investigation, and these comments constitute part of the GOC’s response to the UK Trade Remedies Authority’s (“TRA’s”) questionnaire and should be read along with that response.</w:t>
      </w:r>
    </w:p>
    <w:p w14:paraId="0FC33E6E" w14:textId="77777777" w:rsidR="008D3C67" w:rsidRPr="00131C50" w:rsidRDefault="008D3C67" w:rsidP="008D3C67">
      <w:pPr>
        <w:pStyle w:val="a9"/>
        <w:rPr>
          <w:rFonts w:ascii="Arial" w:hAnsi="Arial" w:cs="Arial"/>
          <w:sz w:val="24"/>
          <w:szCs w:val="24"/>
        </w:rPr>
      </w:pPr>
    </w:p>
    <w:p w14:paraId="3634D216" w14:textId="503ECB3D" w:rsidR="008D3C67" w:rsidRDefault="008D3C67" w:rsidP="008D3C67">
      <w:pPr>
        <w:pStyle w:val="Body2"/>
        <w:numPr>
          <w:ilvl w:val="0"/>
          <w:numId w:val="1"/>
        </w:numPr>
        <w:spacing w:after="0" w:line="360" w:lineRule="auto"/>
        <w:ind w:hanging="720"/>
        <w:rPr>
          <w:sz w:val="24"/>
          <w:szCs w:val="24"/>
          <w:lang w:val="en-US"/>
        </w:rPr>
      </w:pPr>
      <w:r w:rsidRPr="00D037DF">
        <w:rPr>
          <w:sz w:val="24"/>
          <w:szCs w:val="24"/>
          <w:lang w:val="en-US"/>
        </w:rPr>
        <w:t>In a nutshell, the GOC respectfully submits that, in the present case, the requirements for the initiation of an AS investigation as set out in the WTO Agreement on Subsidies and Countervailing Measures (“SCM Agreement”), the UK Trade Remedies (Dumping and Subsidisation) (EU Exit) Regulations 2019 (“UK Regulations”) and Schedule 4 to the UK Taxation (Cross-border Trade) Act 2018 (“TCBA”) are not met. For this reason, the present investigation should be terminated forthwith.</w:t>
      </w:r>
    </w:p>
    <w:p w14:paraId="19E4ED03" w14:textId="77777777" w:rsidR="008D3C67" w:rsidRDefault="008D3C67" w:rsidP="008D3C67">
      <w:pPr>
        <w:pStyle w:val="a9"/>
        <w:rPr>
          <w:sz w:val="24"/>
          <w:szCs w:val="24"/>
        </w:rPr>
      </w:pPr>
    </w:p>
    <w:p w14:paraId="7663B9DA" w14:textId="77777777" w:rsidR="008D3C67" w:rsidRPr="00131C50" w:rsidRDefault="008D3C67" w:rsidP="008D3C67">
      <w:pPr>
        <w:pStyle w:val="Body2"/>
        <w:numPr>
          <w:ilvl w:val="0"/>
          <w:numId w:val="1"/>
        </w:numPr>
        <w:spacing w:after="0" w:line="360" w:lineRule="auto"/>
        <w:ind w:hanging="720"/>
        <w:rPr>
          <w:sz w:val="24"/>
          <w:szCs w:val="24"/>
          <w:lang w:val="en-US"/>
        </w:rPr>
      </w:pPr>
      <w:r>
        <w:rPr>
          <w:sz w:val="24"/>
        </w:rPr>
        <w:t>The</w:t>
      </w:r>
      <w:r>
        <w:rPr>
          <w:spacing w:val="-8"/>
          <w:sz w:val="24"/>
        </w:rPr>
        <w:t xml:space="preserve"> </w:t>
      </w:r>
      <w:r>
        <w:rPr>
          <w:sz w:val="24"/>
        </w:rPr>
        <w:t>GOC</w:t>
      </w:r>
      <w:r>
        <w:rPr>
          <w:spacing w:val="-8"/>
          <w:sz w:val="24"/>
        </w:rPr>
        <w:t xml:space="preserve"> </w:t>
      </w:r>
      <w:r>
        <w:rPr>
          <w:sz w:val="24"/>
        </w:rPr>
        <w:t>will</w:t>
      </w:r>
      <w:r>
        <w:rPr>
          <w:spacing w:val="-6"/>
          <w:sz w:val="24"/>
        </w:rPr>
        <w:t xml:space="preserve"> </w:t>
      </w:r>
      <w:r>
        <w:rPr>
          <w:sz w:val="24"/>
        </w:rPr>
        <w:t>first</w:t>
      </w:r>
      <w:r>
        <w:rPr>
          <w:spacing w:val="-7"/>
          <w:sz w:val="24"/>
        </w:rPr>
        <w:t xml:space="preserve"> </w:t>
      </w:r>
      <w:r>
        <w:rPr>
          <w:sz w:val="24"/>
        </w:rPr>
        <w:t>provide</w:t>
      </w:r>
      <w:r>
        <w:rPr>
          <w:spacing w:val="-7"/>
          <w:sz w:val="24"/>
        </w:rPr>
        <w:t xml:space="preserve"> </w:t>
      </w:r>
      <w:r>
        <w:rPr>
          <w:sz w:val="24"/>
        </w:rPr>
        <w:t>comments</w:t>
      </w:r>
      <w:r>
        <w:rPr>
          <w:spacing w:val="-7"/>
          <w:sz w:val="24"/>
        </w:rPr>
        <w:t xml:space="preserve"> </w:t>
      </w:r>
      <w:r>
        <w:rPr>
          <w:sz w:val="24"/>
        </w:rPr>
        <w:t>on</w:t>
      </w:r>
      <w:r>
        <w:rPr>
          <w:spacing w:val="-7"/>
          <w:sz w:val="24"/>
        </w:rPr>
        <w:t xml:space="preserve"> </w:t>
      </w:r>
      <w:r>
        <w:rPr>
          <w:rFonts w:hint="eastAsia"/>
          <w:sz w:val="24"/>
          <w:lang w:eastAsia="zh-CN"/>
        </w:rPr>
        <w:t>one</w:t>
      </w:r>
      <w:r>
        <w:rPr>
          <w:spacing w:val="-8"/>
          <w:sz w:val="24"/>
        </w:rPr>
        <w:t xml:space="preserve"> </w:t>
      </w:r>
      <w:r>
        <w:rPr>
          <w:sz w:val="24"/>
        </w:rPr>
        <w:t>procedural</w:t>
      </w:r>
      <w:r>
        <w:rPr>
          <w:spacing w:val="-6"/>
          <w:sz w:val="24"/>
        </w:rPr>
        <w:t xml:space="preserve"> </w:t>
      </w:r>
      <w:r>
        <w:rPr>
          <w:sz w:val="24"/>
        </w:rPr>
        <w:t>issues</w:t>
      </w:r>
      <w:r>
        <w:rPr>
          <w:spacing w:val="-7"/>
          <w:sz w:val="24"/>
        </w:rPr>
        <w:t xml:space="preserve"> </w:t>
      </w:r>
      <w:r>
        <w:rPr>
          <w:sz w:val="24"/>
        </w:rPr>
        <w:t>concerning</w:t>
      </w:r>
      <w:r>
        <w:rPr>
          <w:spacing w:val="-7"/>
          <w:sz w:val="24"/>
        </w:rPr>
        <w:t xml:space="preserve"> </w:t>
      </w:r>
      <w:r>
        <w:rPr>
          <w:sz w:val="24"/>
        </w:rPr>
        <w:t>the</w:t>
      </w:r>
      <w:r>
        <w:rPr>
          <w:spacing w:val="-21"/>
          <w:sz w:val="24"/>
        </w:rPr>
        <w:t xml:space="preserve"> </w:t>
      </w:r>
      <w:r>
        <w:rPr>
          <w:sz w:val="24"/>
        </w:rPr>
        <w:t>Application.</w:t>
      </w:r>
      <w:r>
        <w:rPr>
          <w:spacing w:val="-7"/>
          <w:sz w:val="24"/>
        </w:rPr>
        <w:t xml:space="preserve"> </w:t>
      </w:r>
      <w:r>
        <w:rPr>
          <w:sz w:val="24"/>
        </w:rPr>
        <w:t>It will then address the Applicant’s allegations concerning injurious subsidization showing that the</w:t>
      </w:r>
      <w:r>
        <w:rPr>
          <w:spacing w:val="-17"/>
          <w:sz w:val="24"/>
        </w:rPr>
        <w:t xml:space="preserve"> </w:t>
      </w:r>
      <w:r>
        <w:rPr>
          <w:sz w:val="24"/>
        </w:rPr>
        <w:t>arguments</w:t>
      </w:r>
      <w:r>
        <w:rPr>
          <w:spacing w:val="-15"/>
          <w:sz w:val="24"/>
        </w:rPr>
        <w:t xml:space="preserve"> </w:t>
      </w:r>
      <w:r>
        <w:rPr>
          <w:sz w:val="24"/>
        </w:rPr>
        <w:t>and</w:t>
      </w:r>
      <w:r>
        <w:rPr>
          <w:spacing w:val="-16"/>
          <w:sz w:val="24"/>
        </w:rPr>
        <w:t xml:space="preserve"> </w:t>
      </w:r>
      <w:r>
        <w:rPr>
          <w:sz w:val="24"/>
        </w:rPr>
        <w:t>data</w:t>
      </w:r>
      <w:r>
        <w:rPr>
          <w:spacing w:val="-16"/>
          <w:sz w:val="24"/>
        </w:rPr>
        <w:t xml:space="preserve"> </w:t>
      </w:r>
      <w:r>
        <w:rPr>
          <w:sz w:val="24"/>
        </w:rPr>
        <w:t>presented</w:t>
      </w:r>
      <w:r>
        <w:rPr>
          <w:spacing w:val="-16"/>
          <w:sz w:val="24"/>
        </w:rPr>
        <w:t xml:space="preserve"> </w:t>
      </w:r>
      <w:r>
        <w:rPr>
          <w:sz w:val="24"/>
        </w:rPr>
        <w:t>in</w:t>
      </w:r>
      <w:r>
        <w:rPr>
          <w:spacing w:val="-15"/>
          <w:sz w:val="24"/>
        </w:rPr>
        <w:t xml:space="preserve"> </w:t>
      </w:r>
      <w:r>
        <w:rPr>
          <w:sz w:val="24"/>
        </w:rPr>
        <w:t>the</w:t>
      </w:r>
      <w:r>
        <w:rPr>
          <w:spacing w:val="-24"/>
          <w:sz w:val="24"/>
        </w:rPr>
        <w:t xml:space="preserve"> </w:t>
      </w:r>
      <w:r>
        <w:rPr>
          <w:sz w:val="24"/>
        </w:rPr>
        <w:t>Application</w:t>
      </w:r>
      <w:r>
        <w:rPr>
          <w:spacing w:val="-17"/>
          <w:sz w:val="24"/>
        </w:rPr>
        <w:t xml:space="preserve"> </w:t>
      </w:r>
      <w:r>
        <w:rPr>
          <w:sz w:val="24"/>
        </w:rPr>
        <w:t>do</w:t>
      </w:r>
      <w:r>
        <w:rPr>
          <w:spacing w:val="-16"/>
          <w:sz w:val="24"/>
        </w:rPr>
        <w:t xml:space="preserve"> </w:t>
      </w:r>
      <w:r>
        <w:rPr>
          <w:sz w:val="24"/>
        </w:rPr>
        <w:t>not</w:t>
      </w:r>
      <w:r>
        <w:rPr>
          <w:spacing w:val="-15"/>
          <w:sz w:val="24"/>
        </w:rPr>
        <w:t xml:space="preserve"> </w:t>
      </w:r>
      <w:r>
        <w:rPr>
          <w:sz w:val="24"/>
        </w:rPr>
        <w:t>justify</w:t>
      </w:r>
      <w:r>
        <w:rPr>
          <w:spacing w:val="-16"/>
          <w:sz w:val="24"/>
        </w:rPr>
        <w:t xml:space="preserve"> </w:t>
      </w:r>
      <w:r>
        <w:rPr>
          <w:sz w:val="24"/>
        </w:rPr>
        <w:t>the</w:t>
      </w:r>
      <w:r>
        <w:rPr>
          <w:spacing w:val="-16"/>
          <w:sz w:val="24"/>
        </w:rPr>
        <w:t xml:space="preserve"> </w:t>
      </w:r>
      <w:r>
        <w:rPr>
          <w:sz w:val="24"/>
        </w:rPr>
        <w:t>initiation</w:t>
      </w:r>
      <w:r>
        <w:rPr>
          <w:spacing w:val="-16"/>
          <w:sz w:val="24"/>
        </w:rPr>
        <w:t xml:space="preserve"> </w:t>
      </w:r>
      <w:r>
        <w:rPr>
          <w:sz w:val="24"/>
        </w:rPr>
        <w:t>and</w:t>
      </w:r>
      <w:r>
        <w:rPr>
          <w:spacing w:val="-17"/>
          <w:sz w:val="24"/>
        </w:rPr>
        <w:t xml:space="preserve"> </w:t>
      </w:r>
      <w:r>
        <w:rPr>
          <w:sz w:val="24"/>
        </w:rPr>
        <w:t xml:space="preserve">continuation of the investigation, let alone the imposition of AS measures, on </w:t>
      </w:r>
      <w:r>
        <w:rPr>
          <w:rFonts w:eastAsiaTheme="minorEastAsia" w:hint="eastAsia"/>
          <w:sz w:val="24"/>
          <w:lang w:eastAsia="zh-CN"/>
        </w:rPr>
        <w:t>certain e</w:t>
      </w:r>
      <w:r w:rsidRPr="00B67E53">
        <w:rPr>
          <w:rFonts w:eastAsiaTheme="minorEastAsia"/>
          <w:sz w:val="24"/>
          <w:lang w:eastAsia="zh-CN"/>
        </w:rPr>
        <w:t>xcavators</w:t>
      </w:r>
      <w:r>
        <w:rPr>
          <w:sz w:val="24"/>
        </w:rPr>
        <w:t xml:space="preserve"> imports from</w:t>
      </w:r>
      <w:r>
        <w:rPr>
          <w:spacing w:val="-27"/>
          <w:sz w:val="24"/>
        </w:rPr>
        <w:t xml:space="preserve"> </w:t>
      </w:r>
      <w:r>
        <w:rPr>
          <w:sz w:val="24"/>
        </w:rPr>
        <w:t>China.</w:t>
      </w:r>
    </w:p>
    <w:p w14:paraId="6ADDE378" w14:textId="77777777" w:rsidR="008D3C67" w:rsidRPr="00131C50" w:rsidRDefault="008D3C67" w:rsidP="008D3C67">
      <w:pPr>
        <w:pStyle w:val="a9"/>
        <w:rPr>
          <w:rFonts w:ascii="Arial" w:hAnsi="Arial" w:cs="Arial"/>
          <w:sz w:val="24"/>
          <w:szCs w:val="24"/>
        </w:rPr>
      </w:pPr>
    </w:p>
    <w:p w14:paraId="5D6C556C" w14:textId="77777777" w:rsidR="008D3C67" w:rsidRPr="00131C50" w:rsidRDefault="008D3C67" w:rsidP="008D3C67">
      <w:pPr>
        <w:pStyle w:val="Body2"/>
        <w:numPr>
          <w:ilvl w:val="0"/>
          <w:numId w:val="1"/>
        </w:numPr>
        <w:spacing w:after="0" w:line="360" w:lineRule="auto"/>
        <w:ind w:hanging="720"/>
        <w:rPr>
          <w:sz w:val="24"/>
          <w:szCs w:val="24"/>
          <w:lang w:val="en-US"/>
        </w:rPr>
      </w:pPr>
      <w:r>
        <w:rPr>
          <w:sz w:val="24"/>
        </w:rPr>
        <w:t>The GOC reserves its right to comment further on procedural and substantive issues in the course of the present</w:t>
      </w:r>
      <w:r>
        <w:rPr>
          <w:spacing w:val="-2"/>
          <w:sz w:val="24"/>
        </w:rPr>
        <w:t xml:space="preserve"> </w:t>
      </w:r>
      <w:r>
        <w:rPr>
          <w:sz w:val="24"/>
        </w:rPr>
        <w:t>investigation.</w:t>
      </w:r>
    </w:p>
    <w:p w14:paraId="05A41F83" w14:textId="77777777" w:rsidR="00AB1798" w:rsidRPr="008D3C67" w:rsidRDefault="00AB1798" w:rsidP="00673F74">
      <w:pPr>
        <w:pStyle w:val="a9"/>
        <w:rPr>
          <w:rFonts w:ascii="Arial" w:hAnsi="Arial" w:cs="Arial"/>
          <w:sz w:val="24"/>
          <w:szCs w:val="24"/>
        </w:rPr>
      </w:pPr>
    </w:p>
    <w:p w14:paraId="355E2307" w14:textId="77777777" w:rsidR="00D40EF5" w:rsidRPr="00131C50" w:rsidRDefault="00D40EF5" w:rsidP="00673F74">
      <w:pPr>
        <w:pStyle w:val="a9"/>
        <w:rPr>
          <w:rFonts w:ascii="Arial" w:hAnsi="Arial" w:cs="Arial"/>
          <w:sz w:val="24"/>
          <w:szCs w:val="24"/>
        </w:rPr>
      </w:pPr>
    </w:p>
    <w:p w14:paraId="77728374" w14:textId="5AECCCA7" w:rsidR="00D40EF5" w:rsidRPr="00131C50" w:rsidRDefault="008D3C67" w:rsidP="00673F74">
      <w:pPr>
        <w:pStyle w:val="1"/>
        <w:spacing w:before="0"/>
        <w:ind w:left="709" w:hanging="709"/>
        <w:rPr>
          <w:caps/>
          <w:lang w:val="en-US"/>
        </w:rPr>
      </w:pPr>
      <w:bookmarkStart w:id="1" w:name="_Toc161355113"/>
      <w:r w:rsidRPr="008D3C67">
        <w:rPr>
          <w:caps/>
          <w:lang w:val="en-US"/>
        </w:rPr>
        <w:t>PROCEDURAL OBSERVATION</w:t>
      </w:r>
      <w:bookmarkEnd w:id="1"/>
    </w:p>
    <w:p w14:paraId="7F29F704" w14:textId="77777777" w:rsidR="00D40EF5" w:rsidRPr="00131C50" w:rsidRDefault="00D40EF5" w:rsidP="00673F74">
      <w:pPr>
        <w:rPr>
          <w:rFonts w:ascii="Arial" w:hAnsi="Arial" w:cs="Arial"/>
          <w:sz w:val="24"/>
          <w:szCs w:val="24"/>
          <w:lang w:eastAsia="en-US"/>
        </w:rPr>
      </w:pPr>
    </w:p>
    <w:p w14:paraId="07F65AA7" w14:textId="4C014A20" w:rsidR="00D40EF5" w:rsidRPr="00131C50" w:rsidRDefault="008D3C67" w:rsidP="00673F74">
      <w:pPr>
        <w:pStyle w:val="2"/>
        <w:keepLines w:val="0"/>
        <w:ind w:left="709" w:hanging="709"/>
      </w:pPr>
      <w:bookmarkStart w:id="2" w:name="_Toc161355114"/>
      <w:r w:rsidRPr="008D3C67">
        <w:t>Concerns regarding the Applicant’s standing</w:t>
      </w:r>
      <w:bookmarkEnd w:id="2"/>
    </w:p>
    <w:p w14:paraId="1100786F" w14:textId="77777777" w:rsidR="00D40EF5" w:rsidRPr="00131C50" w:rsidRDefault="00D40EF5" w:rsidP="00673F74">
      <w:pPr>
        <w:rPr>
          <w:rFonts w:ascii="Arial" w:hAnsi="Arial" w:cs="Arial"/>
          <w:sz w:val="24"/>
          <w:szCs w:val="24"/>
        </w:rPr>
      </w:pPr>
    </w:p>
    <w:p w14:paraId="0263D480" w14:textId="7B979ADE" w:rsidR="00D15C00" w:rsidRPr="00D15C00" w:rsidRDefault="00D15C00" w:rsidP="00D15C00">
      <w:pPr>
        <w:pStyle w:val="a9"/>
        <w:numPr>
          <w:ilvl w:val="0"/>
          <w:numId w:val="1"/>
        </w:numPr>
        <w:ind w:left="709" w:hanging="709"/>
        <w:rPr>
          <w:rFonts w:ascii="Arial" w:hAnsi="Arial" w:cs="Arial"/>
          <w:sz w:val="24"/>
          <w:szCs w:val="24"/>
        </w:rPr>
      </w:pPr>
      <w:r w:rsidRPr="00D15C00">
        <w:rPr>
          <w:rFonts w:ascii="Arial" w:hAnsi="Arial" w:cs="Arial"/>
          <w:sz w:val="24"/>
        </w:rPr>
        <w:t>The</w:t>
      </w:r>
      <w:r w:rsidRPr="00D15C00">
        <w:rPr>
          <w:rFonts w:ascii="Arial" w:hAnsi="Arial" w:cs="Arial"/>
          <w:spacing w:val="-15"/>
          <w:sz w:val="24"/>
        </w:rPr>
        <w:t xml:space="preserve"> </w:t>
      </w:r>
      <w:r w:rsidRPr="00D15C00">
        <w:rPr>
          <w:rFonts w:ascii="Arial" w:hAnsi="Arial" w:cs="Arial"/>
          <w:sz w:val="24"/>
        </w:rPr>
        <w:t>GOC</w:t>
      </w:r>
      <w:r w:rsidRPr="00D15C00">
        <w:rPr>
          <w:rFonts w:ascii="Arial" w:hAnsi="Arial" w:cs="Arial"/>
          <w:spacing w:val="-13"/>
          <w:sz w:val="24"/>
        </w:rPr>
        <w:t xml:space="preserve"> </w:t>
      </w:r>
      <w:r w:rsidRPr="00D15C00">
        <w:rPr>
          <w:rFonts w:ascii="Arial" w:hAnsi="Arial" w:cs="Arial"/>
          <w:sz w:val="24"/>
        </w:rPr>
        <w:t>recalls</w:t>
      </w:r>
      <w:r w:rsidRPr="00D15C00">
        <w:rPr>
          <w:rFonts w:ascii="Arial" w:hAnsi="Arial" w:cs="Arial"/>
          <w:spacing w:val="-13"/>
          <w:sz w:val="24"/>
        </w:rPr>
        <w:t xml:space="preserve"> </w:t>
      </w:r>
      <w:r w:rsidRPr="00D15C00">
        <w:rPr>
          <w:rFonts w:ascii="Arial" w:hAnsi="Arial" w:cs="Arial"/>
          <w:sz w:val="24"/>
        </w:rPr>
        <w:t>that,</w:t>
      </w:r>
      <w:r w:rsidRPr="00D15C00">
        <w:rPr>
          <w:rFonts w:ascii="Arial" w:hAnsi="Arial" w:cs="Arial"/>
          <w:spacing w:val="-13"/>
          <w:sz w:val="24"/>
        </w:rPr>
        <w:t xml:space="preserve"> </w:t>
      </w:r>
      <w:r w:rsidRPr="00D15C00">
        <w:rPr>
          <w:rFonts w:ascii="Arial" w:hAnsi="Arial" w:cs="Arial"/>
          <w:sz w:val="24"/>
        </w:rPr>
        <w:t>by</w:t>
      </w:r>
      <w:r w:rsidRPr="00D15C00">
        <w:rPr>
          <w:rFonts w:ascii="Arial" w:hAnsi="Arial" w:cs="Arial"/>
          <w:spacing w:val="-11"/>
          <w:sz w:val="24"/>
        </w:rPr>
        <w:t xml:space="preserve"> </w:t>
      </w:r>
      <w:r w:rsidRPr="00D15C00">
        <w:rPr>
          <w:rFonts w:ascii="Arial" w:hAnsi="Arial" w:cs="Arial"/>
          <w:sz w:val="24"/>
        </w:rPr>
        <w:t>virtue</w:t>
      </w:r>
      <w:r w:rsidRPr="00D15C00">
        <w:rPr>
          <w:rFonts w:ascii="Arial" w:hAnsi="Arial" w:cs="Arial"/>
          <w:spacing w:val="-14"/>
          <w:sz w:val="24"/>
        </w:rPr>
        <w:t xml:space="preserve"> </w:t>
      </w:r>
      <w:r w:rsidRPr="00D15C00">
        <w:rPr>
          <w:rFonts w:ascii="Arial" w:hAnsi="Arial" w:cs="Arial"/>
          <w:sz w:val="24"/>
        </w:rPr>
        <w:t>of</w:t>
      </w:r>
      <w:r w:rsidRPr="00D15C00">
        <w:rPr>
          <w:rFonts w:ascii="Arial" w:hAnsi="Arial" w:cs="Arial"/>
          <w:spacing w:val="-24"/>
          <w:sz w:val="24"/>
        </w:rPr>
        <w:t xml:space="preserve"> </w:t>
      </w:r>
      <w:r w:rsidRPr="00D15C00">
        <w:rPr>
          <w:rFonts w:ascii="Arial" w:hAnsi="Arial" w:cs="Arial"/>
          <w:sz w:val="24"/>
        </w:rPr>
        <w:t>Article</w:t>
      </w:r>
      <w:r w:rsidRPr="00D15C00">
        <w:rPr>
          <w:rFonts w:ascii="Arial" w:hAnsi="Arial" w:cs="Arial"/>
          <w:spacing w:val="-14"/>
          <w:sz w:val="24"/>
        </w:rPr>
        <w:t xml:space="preserve"> </w:t>
      </w:r>
      <w:r w:rsidRPr="00D15C00">
        <w:rPr>
          <w:rFonts w:ascii="Arial" w:hAnsi="Arial" w:cs="Arial"/>
          <w:spacing w:val="-3"/>
          <w:sz w:val="24"/>
        </w:rPr>
        <w:t>11.4</w:t>
      </w:r>
      <w:r w:rsidRPr="00D15C00">
        <w:rPr>
          <w:rFonts w:ascii="Arial" w:hAnsi="Arial" w:cs="Arial"/>
          <w:spacing w:val="-11"/>
          <w:sz w:val="24"/>
        </w:rPr>
        <w:t xml:space="preserve"> </w:t>
      </w:r>
      <w:r w:rsidRPr="00D15C00">
        <w:rPr>
          <w:rFonts w:ascii="Arial" w:hAnsi="Arial" w:cs="Arial"/>
          <w:sz w:val="24"/>
        </w:rPr>
        <w:t>of</w:t>
      </w:r>
      <w:r w:rsidRPr="00D15C00">
        <w:rPr>
          <w:rFonts w:ascii="Arial" w:hAnsi="Arial" w:cs="Arial"/>
          <w:spacing w:val="-14"/>
          <w:sz w:val="24"/>
        </w:rPr>
        <w:t xml:space="preserve"> </w:t>
      </w:r>
      <w:r w:rsidRPr="00D15C00">
        <w:rPr>
          <w:rFonts w:ascii="Arial" w:hAnsi="Arial" w:cs="Arial"/>
          <w:sz w:val="24"/>
        </w:rPr>
        <w:t>the</w:t>
      </w:r>
      <w:r w:rsidRPr="00D15C00">
        <w:rPr>
          <w:rFonts w:ascii="Arial" w:hAnsi="Arial" w:cs="Arial"/>
          <w:spacing w:val="-14"/>
          <w:sz w:val="24"/>
        </w:rPr>
        <w:t xml:space="preserve"> </w:t>
      </w:r>
      <w:r w:rsidRPr="00D15C00">
        <w:rPr>
          <w:rFonts w:ascii="Arial" w:hAnsi="Arial" w:cs="Arial"/>
          <w:sz w:val="24"/>
        </w:rPr>
        <w:t>SCM</w:t>
      </w:r>
      <w:r w:rsidRPr="00D15C00">
        <w:rPr>
          <w:rFonts w:ascii="Arial" w:hAnsi="Arial" w:cs="Arial"/>
          <w:spacing w:val="-25"/>
          <w:sz w:val="24"/>
        </w:rPr>
        <w:t xml:space="preserve"> </w:t>
      </w:r>
      <w:r w:rsidRPr="00D15C00">
        <w:rPr>
          <w:rFonts w:ascii="Arial" w:hAnsi="Arial" w:cs="Arial"/>
          <w:sz w:val="24"/>
        </w:rPr>
        <w:t>Agreement,</w:t>
      </w:r>
      <w:r w:rsidRPr="00D15C00">
        <w:rPr>
          <w:rFonts w:ascii="Arial" w:hAnsi="Arial" w:cs="Arial"/>
          <w:spacing w:val="-13"/>
          <w:sz w:val="24"/>
        </w:rPr>
        <w:t xml:space="preserve"> </w:t>
      </w:r>
      <w:r w:rsidRPr="00D15C00">
        <w:rPr>
          <w:rFonts w:ascii="Arial" w:hAnsi="Arial" w:cs="Arial"/>
          <w:sz w:val="24"/>
        </w:rPr>
        <w:t>“</w:t>
      </w:r>
      <w:r w:rsidRPr="00D15C00">
        <w:rPr>
          <w:rFonts w:ascii="Arial" w:hAnsi="Arial" w:cs="Arial"/>
          <w:i/>
          <w:sz w:val="24"/>
          <w:u w:val="single"/>
        </w:rPr>
        <w:t>[a]n</w:t>
      </w:r>
      <w:r w:rsidRPr="00D15C00">
        <w:rPr>
          <w:rFonts w:ascii="Arial" w:hAnsi="Arial" w:cs="Arial"/>
          <w:i/>
          <w:spacing w:val="-11"/>
          <w:sz w:val="24"/>
          <w:u w:val="single"/>
        </w:rPr>
        <w:t xml:space="preserve"> </w:t>
      </w:r>
      <w:r w:rsidRPr="00D15C00">
        <w:rPr>
          <w:rFonts w:ascii="Arial" w:hAnsi="Arial" w:cs="Arial"/>
          <w:i/>
          <w:sz w:val="24"/>
          <w:u w:val="single"/>
        </w:rPr>
        <w:t>investigation</w:t>
      </w:r>
      <w:r w:rsidRPr="00D15C00">
        <w:rPr>
          <w:rFonts w:ascii="Arial" w:hAnsi="Arial" w:cs="Arial"/>
          <w:i/>
          <w:spacing w:val="-13"/>
          <w:sz w:val="24"/>
          <w:u w:val="single"/>
        </w:rPr>
        <w:t xml:space="preserve"> </w:t>
      </w:r>
      <w:r w:rsidRPr="00D15C00">
        <w:rPr>
          <w:rFonts w:ascii="Arial" w:hAnsi="Arial" w:cs="Arial"/>
          <w:i/>
          <w:sz w:val="24"/>
          <w:u w:val="single"/>
        </w:rPr>
        <w:t>shall</w:t>
      </w:r>
      <w:r w:rsidRPr="00D15C00">
        <w:rPr>
          <w:rFonts w:ascii="Arial" w:hAnsi="Arial" w:cs="Arial"/>
          <w:i/>
          <w:sz w:val="24"/>
        </w:rPr>
        <w:t xml:space="preserve"> </w:t>
      </w:r>
      <w:r w:rsidRPr="00D15C00">
        <w:rPr>
          <w:rFonts w:ascii="Arial" w:hAnsi="Arial" w:cs="Arial"/>
          <w:i/>
          <w:sz w:val="24"/>
          <w:u w:val="single"/>
        </w:rPr>
        <w:t>not be initiated</w:t>
      </w:r>
      <w:r w:rsidRPr="00D15C00">
        <w:rPr>
          <w:rFonts w:ascii="Arial" w:hAnsi="Arial" w:cs="Arial"/>
          <w:i/>
          <w:sz w:val="24"/>
        </w:rPr>
        <w:t xml:space="preserve"> pursuant to paragraph 1 </w:t>
      </w:r>
      <w:r w:rsidRPr="00D15C00">
        <w:rPr>
          <w:rFonts w:ascii="Arial" w:hAnsi="Arial" w:cs="Arial"/>
          <w:i/>
          <w:sz w:val="24"/>
          <w:u w:val="single"/>
        </w:rPr>
        <w:t>unless</w:t>
      </w:r>
      <w:r w:rsidRPr="00D15C00">
        <w:rPr>
          <w:rFonts w:ascii="Arial" w:hAnsi="Arial" w:cs="Arial"/>
          <w:i/>
          <w:sz w:val="24"/>
        </w:rPr>
        <w:t xml:space="preserve"> the authorities have determined, on the basis of an examination of the </w:t>
      </w:r>
      <w:r w:rsidRPr="00D15C00">
        <w:rPr>
          <w:rFonts w:ascii="Arial" w:hAnsi="Arial" w:cs="Arial"/>
          <w:i/>
          <w:spacing w:val="-2"/>
          <w:sz w:val="24"/>
        </w:rPr>
        <w:t xml:space="preserve">degree </w:t>
      </w:r>
      <w:r w:rsidRPr="00D15C00">
        <w:rPr>
          <w:rFonts w:ascii="Arial" w:hAnsi="Arial" w:cs="Arial"/>
          <w:i/>
          <w:sz w:val="24"/>
        </w:rPr>
        <w:t xml:space="preserve">of support </w:t>
      </w:r>
      <w:r w:rsidRPr="00D15C00">
        <w:rPr>
          <w:rFonts w:ascii="Arial" w:hAnsi="Arial" w:cs="Arial"/>
          <w:i/>
          <w:spacing w:val="-7"/>
          <w:sz w:val="24"/>
        </w:rPr>
        <w:t xml:space="preserve">for, </w:t>
      </w:r>
      <w:r w:rsidRPr="00D15C00">
        <w:rPr>
          <w:rFonts w:ascii="Arial" w:hAnsi="Arial" w:cs="Arial"/>
          <w:i/>
          <w:sz w:val="24"/>
        </w:rPr>
        <w:t xml:space="preserve">or opposition to, the application expressed by domestic producers of the like product, that </w:t>
      </w:r>
      <w:r w:rsidRPr="00D15C00">
        <w:rPr>
          <w:rFonts w:ascii="Arial" w:hAnsi="Arial" w:cs="Arial"/>
          <w:i/>
          <w:sz w:val="24"/>
          <w:u w:val="single"/>
        </w:rPr>
        <w:t>the application has been made by or on behalf of</w:t>
      </w:r>
      <w:r w:rsidRPr="00D15C00">
        <w:rPr>
          <w:rFonts w:ascii="Arial" w:hAnsi="Arial" w:cs="Arial"/>
          <w:i/>
          <w:sz w:val="24"/>
        </w:rPr>
        <w:t xml:space="preserve"> </w:t>
      </w:r>
      <w:r w:rsidRPr="00D15C00">
        <w:rPr>
          <w:rFonts w:ascii="Arial" w:hAnsi="Arial" w:cs="Arial"/>
          <w:i/>
          <w:sz w:val="24"/>
          <w:u w:val="single"/>
        </w:rPr>
        <w:t>the domestic industry</w:t>
      </w:r>
      <w:r w:rsidRPr="00D15C00">
        <w:rPr>
          <w:rFonts w:ascii="Arial" w:hAnsi="Arial" w:cs="Arial"/>
          <w:i/>
          <w:sz w:val="24"/>
        </w:rPr>
        <w:t xml:space="preserve">. The application shall be considered to have been made ‘by or on </w:t>
      </w:r>
      <w:r w:rsidRPr="00D15C00">
        <w:rPr>
          <w:rFonts w:ascii="Arial" w:hAnsi="Arial" w:cs="Arial"/>
          <w:i/>
          <w:sz w:val="24"/>
        </w:rPr>
        <w:lastRenderedPageBreak/>
        <w:t>behalf of</w:t>
      </w:r>
      <w:r w:rsidRPr="00D15C00">
        <w:rPr>
          <w:rFonts w:ascii="Arial" w:hAnsi="Arial" w:cs="Arial"/>
          <w:i/>
          <w:spacing w:val="-2"/>
          <w:sz w:val="24"/>
        </w:rPr>
        <w:t xml:space="preserve"> </w:t>
      </w:r>
      <w:r w:rsidRPr="00D15C00">
        <w:rPr>
          <w:rFonts w:ascii="Arial" w:hAnsi="Arial" w:cs="Arial"/>
          <w:i/>
          <w:sz w:val="24"/>
        </w:rPr>
        <w:t>the</w:t>
      </w:r>
      <w:r w:rsidRPr="00D15C00">
        <w:rPr>
          <w:rFonts w:ascii="Arial" w:hAnsi="Arial" w:cs="Arial"/>
          <w:i/>
          <w:spacing w:val="-3"/>
          <w:sz w:val="24"/>
        </w:rPr>
        <w:t xml:space="preserve"> </w:t>
      </w:r>
      <w:r w:rsidRPr="00D15C00">
        <w:rPr>
          <w:rFonts w:ascii="Arial" w:hAnsi="Arial" w:cs="Arial"/>
          <w:i/>
          <w:sz w:val="24"/>
        </w:rPr>
        <w:t>domestic</w:t>
      </w:r>
      <w:r w:rsidRPr="00D15C00">
        <w:rPr>
          <w:rFonts w:ascii="Arial" w:hAnsi="Arial" w:cs="Arial"/>
          <w:i/>
          <w:spacing w:val="-3"/>
          <w:sz w:val="24"/>
        </w:rPr>
        <w:t xml:space="preserve"> </w:t>
      </w:r>
      <w:r w:rsidRPr="00D15C00">
        <w:rPr>
          <w:rFonts w:ascii="Arial" w:hAnsi="Arial" w:cs="Arial"/>
          <w:i/>
          <w:sz w:val="24"/>
        </w:rPr>
        <w:t>industry’</w:t>
      </w:r>
      <w:r w:rsidRPr="00D15C00">
        <w:rPr>
          <w:rFonts w:ascii="Arial" w:hAnsi="Arial" w:cs="Arial"/>
          <w:i/>
          <w:spacing w:val="-31"/>
          <w:sz w:val="24"/>
        </w:rPr>
        <w:t xml:space="preserve"> </w:t>
      </w:r>
      <w:r w:rsidRPr="00D15C00">
        <w:rPr>
          <w:rFonts w:ascii="Arial" w:hAnsi="Arial" w:cs="Arial"/>
          <w:i/>
          <w:sz w:val="24"/>
        </w:rPr>
        <w:t>if</w:t>
      </w:r>
      <w:r w:rsidRPr="00D15C00">
        <w:rPr>
          <w:rFonts w:ascii="Arial" w:hAnsi="Arial" w:cs="Arial"/>
          <w:i/>
          <w:spacing w:val="-2"/>
          <w:sz w:val="24"/>
        </w:rPr>
        <w:t xml:space="preserve"> </w:t>
      </w:r>
      <w:r w:rsidRPr="00D15C00">
        <w:rPr>
          <w:rFonts w:ascii="Arial" w:hAnsi="Arial" w:cs="Arial"/>
          <w:i/>
          <w:sz w:val="24"/>
        </w:rPr>
        <w:t>it</w:t>
      </w:r>
      <w:r w:rsidRPr="00D15C00">
        <w:rPr>
          <w:rFonts w:ascii="Arial" w:hAnsi="Arial" w:cs="Arial"/>
          <w:i/>
          <w:spacing w:val="-4"/>
          <w:sz w:val="24"/>
        </w:rPr>
        <w:t xml:space="preserve"> </w:t>
      </w:r>
      <w:r w:rsidRPr="00D15C00">
        <w:rPr>
          <w:rFonts w:ascii="Arial" w:hAnsi="Arial" w:cs="Arial"/>
          <w:i/>
          <w:sz w:val="24"/>
        </w:rPr>
        <w:t>is</w:t>
      </w:r>
      <w:r w:rsidRPr="00D15C00">
        <w:rPr>
          <w:rFonts w:ascii="Arial" w:hAnsi="Arial" w:cs="Arial"/>
          <w:i/>
          <w:spacing w:val="-2"/>
          <w:sz w:val="24"/>
        </w:rPr>
        <w:t xml:space="preserve"> </w:t>
      </w:r>
      <w:r w:rsidRPr="00D15C00">
        <w:rPr>
          <w:rFonts w:ascii="Arial" w:hAnsi="Arial" w:cs="Arial"/>
          <w:i/>
          <w:sz w:val="24"/>
        </w:rPr>
        <w:t>supported</w:t>
      </w:r>
      <w:r w:rsidRPr="00D15C00">
        <w:rPr>
          <w:rFonts w:ascii="Arial" w:hAnsi="Arial" w:cs="Arial"/>
          <w:i/>
          <w:spacing w:val="-1"/>
          <w:sz w:val="24"/>
        </w:rPr>
        <w:t xml:space="preserve"> </w:t>
      </w:r>
      <w:r w:rsidRPr="00D15C00">
        <w:rPr>
          <w:rFonts w:ascii="Arial" w:hAnsi="Arial" w:cs="Arial"/>
          <w:i/>
          <w:sz w:val="24"/>
        </w:rPr>
        <w:t>by</w:t>
      </w:r>
      <w:r w:rsidRPr="00D15C00">
        <w:rPr>
          <w:rFonts w:ascii="Arial" w:hAnsi="Arial" w:cs="Arial"/>
          <w:i/>
          <w:spacing w:val="-6"/>
          <w:sz w:val="24"/>
        </w:rPr>
        <w:t xml:space="preserve"> </w:t>
      </w:r>
      <w:r w:rsidRPr="00D15C00">
        <w:rPr>
          <w:rFonts w:ascii="Arial" w:hAnsi="Arial" w:cs="Arial"/>
          <w:i/>
          <w:sz w:val="24"/>
        </w:rPr>
        <w:t>those</w:t>
      </w:r>
      <w:r w:rsidRPr="00D15C00">
        <w:rPr>
          <w:rFonts w:ascii="Arial" w:hAnsi="Arial" w:cs="Arial"/>
          <w:i/>
          <w:spacing w:val="-2"/>
          <w:sz w:val="24"/>
        </w:rPr>
        <w:t xml:space="preserve"> </w:t>
      </w:r>
      <w:r w:rsidRPr="00D15C00">
        <w:rPr>
          <w:rFonts w:ascii="Arial" w:hAnsi="Arial" w:cs="Arial"/>
          <w:i/>
          <w:sz w:val="24"/>
        </w:rPr>
        <w:t>domestic</w:t>
      </w:r>
      <w:r w:rsidRPr="00D15C00">
        <w:rPr>
          <w:rFonts w:ascii="Arial" w:hAnsi="Arial" w:cs="Arial"/>
          <w:i/>
          <w:spacing w:val="-3"/>
          <w:sz w:val="24"/>
        </w:rPr>
        <w:t xml:space="preserve"> </w:t>
      </w:r>
      <w:r w:rsidRPr="00D15C00">
        <w:rPr>
          <w:rFonts w:ascii="Arial" w:hAnsi="Arial" w:cs="Arial"/>
          <w:i/>
          <w:sz w:val="24"/>
        </w:rPr>
        <w:t>producers</w:t>
      </w:r>
      <w:r w:rsidRPr="00D15C00">
        <w:rPr>
          <w:rFonts w:ascii="Arial" w:hAnsi="Arial" w:cs="Arial"/>
          <w:i/>
          <w:spacing w:val="-3"/>
          <w:sz w:val="24"/>
        </w:rPr>
        <w:t xml:space="preserve"> </w:t>
      </w:r>
      <w:r w:rsidRPr="00D15C00">
        <w:rPr>
          <w:rFonts w:ascii="Arial" w:hAnsi="Arial" w:cs="Arial"/>
          <w:i/>
          <w:sz w:val="24"/>
        </w:rPr>
        <w:t>whose</w:t>
      </w:r>
      <w:r w:rsidRPr="00D15C00">
        <w:rPr>
          <w:rFonts w:ascii="Arial" w:hAnsi="Arial" w:cs="Arial"/>
          <w:i/>
          <w:spacing w:val="-3"/>
          <w:sz w:val="24"/>
        </w:rPr>
        <w:t xml:space="preserve"> </w:t>
      </w:r>
      <w:r w:rsidRPr="00D15C00">
        <w:rPr>
          <w:rFonts w:ascii="Arial" w:hAnsi="Arial" w:cs="Arial"/>
          <w:i/>
          <w:sz w:val="24"/>
        </w:rPr>
        <w:t>collective</w:t>
      </w:r>
      <w:r w:rsidRPr="00D15C00">
        <w:rPr>
          <w:rFonts w:ascii="Arial" w:hAnsi="Arial" w:cs="Arial"/>
          <w:i/>
          <w:spacing w:val="-3"/>
          <w:sz w:val="24"/>
        </w:rPr>
        <w:t xml:space="preserve"> </w:t>
      </w:r>
      <w:r w:rsidRPr="00D15C00">
        <w:rPr>
          <w:rFonts w:ascii="Arial" w:hAnsi="Arial" w:cs="Arial"/>
          <w:i/>
          <w:sz w:val="24"/>
        </w:rPr>
        <w:t xml:space="preserve">output constitutes </w:t>
      </w:r>
      <w:r w:rsidRPr="00D15C00">
        <w:rPr>
          <w:rFonts w:ascii="Arial" w:hAnsi="Arial" w:cs="Arial"/>
          <w:i/>
          <w:spacing w:val="-3"/>
          <w:sz w:val="24"/>
        </w:rPr>
        <w:t xml:space="preserve">more </w:t>
      </w:r>
      <w:r w:rsidRPr="00D15C00">
        <w:rPr>
          <w:rFonts w:ascii="Arial" w:hAnsi="Arial" w:cs="Arial"/>
          <w:i/>
          <w:sz w:val="24"/>
        </w:rPr>
        <w:t xml:space="preserve">than 50 per cent of the total production of the like product produced by that portion of the domestic industry expressing either support for or opposition to the application. </w:t>
      </w:r>
      <w:r w:rsidRPr="00D15C00">
        <w:rPr>
          <w:rFonts w:ascii="Arial" w:hAnsi="Arial" w:cs="Arial"/>
          <w:i/>
          <w:spacing w:val="-5"/>
          <w:sz w:val="24"/>
        </w:rPr>
        <w:t xml:space="preserve">However, </w:t>
      </w:r>
      <w:r w:rsidRPr="00D15C00">
        <w:rPr>
          <w:rFonts w:ascii="Arial" w:hAnsi="Arial" w:cs="Arial"/>
          <w:i/>
          <w:sz w:val="24"/>
          <w:u w:val="single"/>
        </w:rPr>
        <w:t>no investigation shall be initiated when domestic producers expressly supporting</w:t>
      </w:r>
      <w:r w:rsidRPr="00D15C00">
        <w:rPr>
          <w:rFonts w:ascii="Arial" w:hAnsi="Arial" w:cs="Arial"/>
          <w:i/>
          <w:spacing w:val="-34"/>
          <w:sz w:val="24"/>
          <w:u w:val="single"/>
        </w:rPr>
        <w:t xml:space="preserve"> </w:t>
      </w:r>
      <w:r w:rsidRPr="00D15C00">
        <w:rPr>
          <w:rFonts w:ascii="Arial" w:hAnsi="Arial" w:cs="Arial"/>
          <w:i/>
          <w:sz w:val="24"/>
          <w:u w:val="single"/>
        </w:rPr>
        <w:t>the application account for less than 25 per cent of total production of the like product produced</w:t>
      </w:r>
      <w:r w:rsidRPr="00D15C00">
        <w:rPr>
          <w:rFonts w:ascii="Arial" w:hAnsi="Arial" w:cs="Arial"/>
          <w:i/>
          <w:sz w:val="24"/>
        </w:rPr>
        <w:t xml:space="preserve"> </w:t>
      </w:r>
      <w:r w:rsidRPr="00D15C00">
        <w:rPr>
          <w:rFonts w:ascii="Arial" w:hAnsi="Arial" w:cs="Arial"/>
          <w:i/>
          <w:sz w:val="24"/>
          <w:u w:val="single"/>
        </w:rPr>
        <w:t>by the domestic industry</w:t>
      </w:r>
      <w:r w:rsidRPr="00D15C00">
        <w:rPr>
          <w:rFonts w:ascii="Arial" w:hAnsi="Arial" w:cs="Arial"/>
          <w:sz w:val="24"/>
        </w:rPr>
        <w:t>.” (Underlining added and footnotes omitted).</w:t>
      </w:r>
    </w:p>
    <w:p w14:paraId="613906F0" w14:textId="77777777" w:rsidR="00D15C00" w:rsidRDefault="00D15C00" w:rsidP="00D15C00">
      <w:pPr>
        <w:pStyle w:val="a9"/>
        <w:rPr>
          <w:rFonts w:ascii="Arial" w:hAnsi="Arial" w:cs="Arial"/>
          <w:sz w:val="24"/>
          <w:szCs w:val="24"/>
        </w:rPr>
      </w:pPr>
    </w:p>
    <w:p w14:paraId="5A1903E7" w14:textId="7F402C96" w:rsidR="00D40EF5" w:rsidRPr="00131C50" w:rsidRDefault="00424D38" w:rsidP="00D15C00">
      <w:pPr>
        <w:pStyle w:val="a9"/>
        <w:numPr>
          <w:ilvl w:val="0"/>
          <w:numId w:val="1"/>
        </w:numPr>
        <w:ind w:left="709" w:hanging="567"/>
        <w:rPr>
          <w:rFonts w:ascii="Arial" w:hAnsi="Arial" w:cs="Arial"/>
          <w:sz w:val="24"/>
          <w:szCs w:val="24"/>
        </w:rPr>
      </w:pPr>
      <w:r w:rsidRPr="00424D38">
        <w:rPr>
          <w:rFonts w:ascii="Arial" w:hAnsi="Arial" w:cs="Arial"/>
          <w:sz w:val="24"/>
          <w:szCs w:val="24"/>
        </w:rPr>
        <w:t xml:space="preserve">In </w:t>
      </w:r>
      <w:r w:rsidRPr="00424D38">
        <w:rPr>
          <w:rFonts w:ascii="Arial" w:hAnsi="Arial" w:cs="Arial"/>
          <w:i/>
          <w:iCs/>
          <w:sz w:val="24"/>
          <w:szCs w:val="24"/>
        </w:rPr>
        <w:t>US – Offset Act</w:t>
      </w:r>
      <w:r w:rsidRPr="00424D38">
        <w:rPr>
          <w:rFonts w:ascii="Arial" w:hAnsi="Arial" w:cs="Arial"/>
          <w:sz w:val="24"/>
          <w:szCs w:val="24"/>
        </w:rPr>
        <w:t xml:space="preserve"> (Byrd Amendment), the Appellate Body held that Article 11.4 of the SCM Agreement requires investigating authorities to “determine” whether an application for the initiation of an investigation has been “made by or on behalf of the domestic industry”.</w:t>
      </w:r>
      <w:r>
        <w:rPr>
          <w:rStyle w:val="ab"/>
          <w:rFonts w:ascii="Arial" w:hAnsi="Arial" w:cs="Arial"/>
          <w:sz w:val="24"/>
          <w:szCs w:val="24"/>
        </w:rPr>
        <w:footnoteReference w:id="1"/>
      </w:r>
      <w:r w:rsidRPr="00424D38">
        <w:rPr>
          <w:rFonts w:ascii="Arial" w:hAnsi="Arial" w:cs="Arial"/>
          <w:sz w:val="24"/>
          <w:szCs w:val="24"/>
        </w:rPr>
        <w:t xml:space="preserve"> If the thresholds set out in Article 11.4 of the SCM Agreement have been met, then the “application shall be considered to have been made by or on behalf of the domestic industry”.</w:t>
      </w:r>
      <w:r>
        <w:rPr>
          <w:rStyle w:val="ab"/>
          <w:rFonts w:ascii="Arial" w:hAnsi="Arial" w:cs="Arial"/>
          <w:sz w:val="24"/>
          <w:szCs w:val="24"/>
        </w:rPr>
        <w:footnoteReference w:id="2"/>
      </w:r>
      <w:r w:rsidRPr="00424D38">
        <w:rPr>
          <w:rFonts w:ascii="Arial" w:hAnsi="Arial" w:cs="Arial"/>
          <w:sz w:val="24"/>
          <w:szCs w:val="24"/>
        </w:rPr>
        <w:t xml:space="preserve"> It is only in such circumstances that an investigation may be initiated.</w:t>
      </w:r>
      <w:r>
        <w:rPr>
          <w:rStyle w:val="ab"/>
          <w:rFonts w:ascii="Arial" w:hAnsi="Arial" w:cs="Arial"/>
          <w:sz w:val="24"/>
          <w:szCs w:val="24"/>
        </w:rPr>
        <w:footnoteReference w:id="3"/>
      </w:r>
    </w:p>
    <w:p w14:paraId="0CB79CFF" w14:textId="77777777" w:rsidR="00D40EF5" w:rsidRPr="00131C50" w:rsidRDefault="00D40EF5" w:rsidP="00673F74">
      <w:pPr>
        <w:pStyle w:val="a9"/>
        <w:rPr>
          <w:rFonts w:ascii="Arial" w:hAnsi="Arial" w:cs="Arial"/>
          <w:sz w:val="24"/>
          <w:szCs w:val="24"/>
        </w:rPr>
      </w:pPr>
    </w:p>
    <w:p w14:paraId="7B0EA193" w14:textId="3FF026B4" w:rsidR="00D40EF5" w:rsidRPr="00131C50" w:rsidRDefault="00424D38" w:rsidP="00673F74">
      <w:pPr>
        <w:pStyle w:val="a9"/>
        <w:numPr>
          <w:ilvl w:val="0"/>
          <w:numId w:val="1"/>
        </w:numPr>
        <w:ind w:hanging="720"/>
        <w:rPr>
          <w:rFonts w:ascii="Arial" w:hAnsi="Arial" w:cs="Arial"/>
          <w:sz w:val="24"/>
          <w:szCs w:val="24"/>
        </w:rPr>
      </w:pPr>
      <w:r w:rsidRPr="00424D38">
        <w:rPr>
          <w:rFonts w:ascii="Arial" w:hAnsi="Arial" w:cs="Arial"/>
          <w:sz w:val="24"/>
          <w:szCs w:val="24"/>
        </w:rPr>
        <w:t>Against this legal background, it is noted that</w:t>
      </w:r>
      <w:r>
        <w:rPr>
          <w:rFonts w:ascii="Arial" w:hAnsi="Arial" w:cs="Arial" w:hint="eastAsia"/>
          <w:sz w:val="24"/>
          <w:szCs w:val="24"/>
        </w:rPr>
        <w:t xml:space="preserve"> </w:t>
      </w:r>
      <w:r w:rsidRPr="00424D38">
        <w:rPr>
          <w:rFonts w:ascii="Arial" w:hAnsi="Arial" w:cs="Arial"/>
          <w:sz w:val="24"/>
          <w:szCs w:val="24"/>
        </w:rPr>
        <w:t>the Application was filed by the Applicant alone</w:t>
      </w:r>
      <w:r>
        <w:rPr>
          <w:rFonts w:ascii="Arial" w:hAnsi="Arial" w:cs="Arial" w:hint="eastAsia"/>
          <w:sz w:val="24"/>
          <w:szCs w:val="24"/>
        </w:rPr>
        <w:t>.</w:t>
      </w:r>
      <w:r w:rsidR="00DB15EA">
        <w:rPr>
          <w:rFonts w:ascii="Arial" w:hAnsi="Arial" w:cs="Arial" w:hint="eastAsia"/>
          <w:sz w:val="24"/>
          <w:szCs w:val="24"/>
        </w:rPr>
        <w:t xml:space="preserve"> </w:t>
      </w:r>
      <w:r w:rsidR="00336BC9">
        <w:rPr>
          <w:rFonts w:ascii="Arial" w:hAnsi="Arial" w:cs="Arial" w:hint="eastAsia"/>
          <w:sz w:val="24"/>
          <w:szCs w:val="24"/>
        </w:rPr>
        <w:t>S</w:t>
      </w:r>
      <w:r w:rsidR="00DB15EA" w:rsidRPr="00DB15EA">
        <w:rPr>
          <w:rFonts w:ascii="Arial" w:hAnsi="Arial" w:cs="Arial"/>
          <w:sz w:val="24"/>
          <w:szCs w:val="24"/>
        </w:rPr>
        <w:t>ince the Applicant is the sole producer that filed the Application, the Application was not made by or on behalf of the UK industry and, therefore, the present investigation was likely initiated in violation of Article 11.4 of the SCM Agreement and paragraph 9(1)(a)(i) of Schedule 4 to the TCBA. Accordingly, the GOC respectfully requests the TRA to re-evaluate its decision to initiate the investigation at hand.</w:t>
      </w:r>
    </w:p>
    <w:p w14:paraId="7B59746B" w14:textId="77777777" w:rsidR="00D40EF5" w:rsidRPr="00131C50" w:rsidRDefault="00D40EF5" w:rsidP="00673F74">
      <w:pPr>
        <w:pStyle w:val="a9"/>
        <w:rPr>
          <w:rFonts w:ascii="Arial" w:hAnsi="Arial" w:cs="Arial"/>
          <w:sz w:val="24"/>
          <w:szCs w:val="24"/>
        </w:rPr>
      </w:pPr>
    </w:p>
    <w:p w14:paraId="3142A123" w14:textId="0C87372F" w:rsidR="00D40EF5" w:rsidRPr="00131C50" w:rsidRDefault="00993832" w:rsidP="00673F74">
      <w:pPr>
        <w:pStyle w:val="a9"/>
        <w:numPr>
          <w:ilvl w:val="0"/>
          <w:numId w:val="1"/>
        </w:numPr>
        <w:ind w:hanging="720"/>
        <w:rPr>
          <w:rFonts w:ascii="Arial" w:hAnsi="Arial" w:cs="Arial"/>
          <w:sz w:val="24"/>
          <w:szCs w:val="24"/>
        </w:rPr>
      </w:pPr>
      <w:r>
        <w:rPr>
          <w:rFonts w:ascii="Arial" w:hAnsi="Arial" w:cs="Arial" w:hint="eastAsia"/>
          <w:sz w:val="24"/>
          <w:szCs w:val="24"/>
        </w:rPr>
        <w:t>W</w:t>
      </w:r>
      <w:r w:rsidRPr="00993832">
        <w:rPr>
          <w:rFonts w:ascii="Arial" w:hAnsi="Arial" w:cs="Arial"/>
          <w:sz w:val="24"/>
          <w:szCs w:val="24"/>
        </w:rPr>
        <w:t xml:space="preserve">ithout prejudice to the above, the GOC notes that it is not clear whether the TRA undertook an independent assessment of the total UK production of </w:t>
      </w:r>
      <w:r>
        <w:rPr>
          <w:rFonts w:ascii="Arial" w:hAnsi="Arial" w:cs="Arial" w:hint="eastAsia"/>
          <w:sz w:val="24"/>
          <w:szCs w:val="24"/>
        </w:rPr>
        <w:t>Excavator</w:t>
      </w:r>
      <w:r w:rsidRPr="00993832">
        <w:rPr>
          <w:rFonts w:ascii="Arial" w:hAnsi="Arial" w:cs="Arial"/>
          <w:sz w:val="24"/>
          <w:szCs w:val="24"/>
        </w:rPr>
        <w:t xml:space="preserve"> and the Applicant’s standing. The GOC considers that such an assessment would have involved, for example, reaching out to the other UK producers of </w:t>
      </w:r>
      <w:r>
        <w:rPr>
          <w:rFonts w:ascii="Arial" w:hAnsi="Arial" w:cs="Arial" w:hint="eastAsia"/>
          <w:sz w:val="24"/>
          <w:szCs w:val="24"/>
        </w:rPr>
        <w:t>Excavator</w:t>
      </w:r>
      <w:r w:rsidRPr="00993832">
        <w:rPr>
          <w:rFonts w:ascii="Arial" w:hAnsi="Arial" w:cs="Arial"/>
          <w:sz w:val="24"/>
          <w:szCs w:val="24"/>
        </w:rPr>
        <w:t xml:space="preserve"> to determine their production, the total UK production, </w:t>
      </w:r>
      <w:r w:rsidRPr="00993832">
        <w:rPr>
          <w:rFonts w:ascii="Arial" w:hAnsi="Arial" w:cs="Arial"/>
          <w:sz w:val="24"/>
          <w:szCs w:val="24"/>
        </w:rPr>
        <w:lastRenderedPageBreak/>
        <w:t>and their position in relation to the Application. Indeed, the TRA was obliged under</w:t>
      </w:r>
      <w:r>
        <w:rPr>
          <w:rFonts w:ascii="Arial" w:hAnsi="Arial" w:cs="Arial" w:hint="eastAsia"/>
          <w:sz w:val="24"/>
          <w:szCs w:val="24"/>
        </w:rPr>
        <w:t xml:space="preserve"> </w:t>
      </w:r>
      <w:r w:rsidRPr="00993832">
        <w:rPr>
          <w:rFonts w:ascii="Arial" w:hAnsi="Arial" w:cs="Arial"/>
          <w:sz w:val="24"/>
          <w:szCs w:val="24"/>
        </w:rPr>
        <w:t>Article 11.4 of the SCM Agreement to independently determine whether the Application had been made by or on behalf of the UK industry by checking the support for or opposition to the Application. If the TRA has reached out to the other UK producers, the GOC would be most grateful to be provided with the relevant assessment, as is routinely done in other jurisdictions, such as the European Union (“EU”).</w:t>
      </w:r>
    </w:p>
    <w:p w14:paraId="780C3424" w14:textId="77777777" w:rsidR="00B21A9E" w:rsidRPr="00131C50" w:rsidRDefault="00B21A9E" w:rsidP="00673F74">
      <w:pPr>
        <w:pStyle w:val="a9"/>
        <w:rPr>
          <w:rFonts w:ascii="Arial" w:hAnsi="Arial" w:cs="Arial"/>
          <w:sz w:val="24"/>
          <w:szCs w:val="24"/>
        </w:rPr>
      </w:pPr>
    </w:p>
    <w:p w14:paraId="439606B0" w14:textId="2B9FDF3F" w:rsidR="00296316" w:rsidRPr="00131C50" w:rsidRDefault="00C51ACE" w:rsidP="00673F74">
      <w:pPr>
        <w:pStyle w:val="1"/>
        <w:spacing w:before="0"/>
        <w:ind w:left="709" w:hanging="709"/>
        <w:rPr>
          <w:caps/>
          <w:lang w:val="en-US"/>
        </w:rPr>
      </w:pPr>
      <w:bookmarkStart w:id="3" w:name="_Toc161355115"/>
      <w:r w:rsidRPr="00C51ACE">
        <w:rPr>
          <w:caps/>
          <w:lang w:val="en-US"/>
        </w:rPr>
        <w:t>SUBSIDIZATION</w:t>
      </w:r>
      <w:bookmarkEnd w:id="3"/>
    </w:p>
    <w:p w14:paraId="6D8B7051" w14:textId="77777777" w:rsidR="00296316" w:rsidRPr="00131C50" w:rsidRDefault="00296316" w:rsidP="00673F74">
      <w:pPr>
        <w:pStyle w:val="a9"/>
        <w:rPr>
          <w:rFonts w:ascii="Arial" w:hAnsi="Arial" w:cs="Arial"/>
          <w:sz w:val="24"/>
          <w:szCs w:val="24"/>
        </w:rPr>
      </w:pPr>
    </w:p>
    <w:p w14:paraId="5DD26811" w14:textId="50E6817E" w:rsidR="0045188A" w:rsidRPr="0045188A" w:rsidRDefault="0045188A" w:rsidP="00673F74">
      <w:pPr>
        <w:pStyle w:val="2"/>
        <w:ind w:left="720" w:hanging="720"/>
      </w:pPr>
      <w:bookmarkStart w:id="4" w:name="_Toc161355116"/>
      <w:r w:rsidRPr="0045188A">
        <w:t>Applicable legal standard</w:t>
      </w:r>
      <w:bookmarkEnd w:id="4"/>
    </w:p>
    <w:p w14:paraId="0B31BAC9" w14:textId="09FD6ADC" w:rsidR="0044496C" w:rsidRPr="0044496C" w:rsidRDefault="0044496C" w:rsidP="0044496C">
      <w:pPr>
        <w:pStyle w:val="a9"/>
        <w:widowControl w:val="0"/>
        <w:numPr>
          <w:ilvl w:val="0"/>
          <w:numId w:val="1"/>
        </w:numPr>
        <w:autoSpaceDE w:val="0"/>
        <w:autoSpaceDN w:val="0"/>
        <w:spacing w:before="110"/>
        <w:ind w:right="-46" w:hanging="720"/>
        <w:rPr>
          <w:rFonts w:ascii="Arial" w:hAnsi="Arial" w:cs="Arial"/>
          <w:sz w:val="24"/>
        </w:rPr>
      </w:pPr>
      <w:r w:rsidRPr="0044496C">
        <w:rPr>
          <w:rFonts w:ascii="Arial" w:hAnsi="Arial" w:cs="Arial"/>
          <w:sz w:val="24"/>
        </w:rPr>
        <w:t xml:space="preserve">The GOC recalls that Article </w:t>
      </w:r>
      <w:r w:rsidRPr="0044496C">
        <w:rPr>
          <w:rFonts w:ascii="Arial" w:hAnsi="Arial" w:cs="Arial"/>
          <w:spacing w:val="-3"/>
          <w:sz w:val="24"/>
        </w:rPr>
        <w:t xml:space="preserve">11.2 </w:t>
      </w:r>
      <w:r w:rsidRPr="0044496C">
        <w:rPr>
          <w:rFonts w:ascii="Arial" w:hAnsi="Arial" w:cs="Arial"/>
          <w:sz w:val="24"/>
        </w:rPr>
        <w:t>of the SCM Agreement</w:t>
      </w:r>
      <w:r>
        <w:rPr>
          <w:rStyle w:val="ab"/>
          <w:rFonts w:ascii="Arial" w:hAnsi="Arial" w:cs="Arial"/>
          <w:sz w:val="24"/>
        </w:rPr>
        <w:footnoteReference w:id="4"/>
      </w:r>
      <w:r w:rsidRPr="0044496C">
        <w:rPr>
          <w:rFonts w:ascii="Arial" w:hAnsi="Arial" w:cs="Arial"/>
          <w:sz w:val="24"/>
        </w:rPr>
        <w:t xml:space="preserve"> sets out the evidentiary standard that must be satisfied in an application submitted to an investigating authority by or on behalf of a domestic </w:t>
      </w:r>
      <w:r w:rsidRPr="0044496C">
        <w:rPr>
          <w:rFonts w:ascii="Arial" w:hAnsi="Arial" w:cs="Arial"/>
          <w:spacing w:val="-3"/>
          <w:sz w:val="24"/>
        </w:rPr>
        <w:t xml:space="preserve">injury. </w:t>
      </w:r>
      <w:r w:rsidRPr="0044496C">
        <w:rPr>
          <w:rFonts w:ascii="Arial" w:hAnsi="Arial" w:cs="Arial"/>
          <w:sz w:val="24"/>
        </w:rPr>
        <w:t xml:space="preserve">Article </w:t>
      </w:r>
      <w:r w:rsidRPr="0044496C">
        <w:rPr>
          <w:rFonts w:ascii="Arial" w:hAnsi="Arial" w:cs="Arial"/>
          <w:spacing w:val="-3"/>
          <w:sz w:val="24"/>
        </w:rPr>
        <w:t xml:space="preserve">11.2 </w:t>
      </w:r>
      <w:r w:rsidRPr="0044496C">
        <w:rPr>
          <w:rFonts w:ascii="Arial" w:hAnsi="Arial" w:cs="Arial"/>
          <w:sz w:val="24"/>
        </w:rPr>
        <w:t>of the SCM Agreement provides as</w:t>
      </w:r>
      <w:r w:rsidRPr="0044496C">
        <w:rPr>
          <w:rFonts w:ascii="Arial" w:hAnsi="Arial" w:cs="Arial"/>
          <w:spacing w:val="-25"/>
          <w:sz w:val="24"/>
        </w:rPr>
        <w:t xml:space="preserve"> </w:t>
      </w:r>
      <w:r w:rsidRPr="0044496C">
        <w:rPr>
          <w:rFonts w:ascii="Arial" w:hAnsi="Arial" w:cs="Arial"/>
          <w:sz w:val="24"/>
        </w:rPr>
        <w:t>follows:</w:t>
      </w:r>
    </w:p>
    <w:p w14:paraId="288A9EB6" w14:textId="77777777" w:rsidR="0044496C" w:rsidRPr="0044496C" w:rsidRDefault="0044496C" w:rsidP="009A453E">
      <w:pPr>
        <w:spacing w:line="275" w:lineRule="exact"/>
        <w:ind w:left="1440" w:right="-46"/>
        <w:rPr>
          <w:rFonts w:ascii="Arial" w:hAnsi="Arial" w:cs="Arial"/>
          <w:i/>
          <w:sz w:val="24"/>
        </w:rPr>
      </w:pPr>
      <w:r w:rsidRPr="0044496C">
        <w:rPr>
          <w:rFonts w:ascii="Arial" w:hAnsi="Arial" w:cs="Arial"/>
          <w:sz w:val="24"/>
        </w:rPr>
        <w:t>“</w:t>
      </w:r>
      <w:r w:rsidRPr="0044496C">
        <w:rPr>
          <w:rFonts w:ascii="Arial" w:hAnsi="Arial" w:cs="Arial"/>
          <w:i/>
          <w:sz w:val="24"/>
          <w:u w:val="single"/>
        </w:rPr>
        <w:t>An</w:t>
      </w:r>
      <w:r w:rsidRPr="0044496C">
        <w:rPr>
          <w:rFonts w:ascii="Arial" w:hAnsi="Arial" w:cs="Arial"/>
          <w:i/>
          <w:spacing w:val="13"/>
          <w:sz w:val="24"/>
          <w:u w:val="single"/>
        </w:rPr>
        <w:t xml:space="preserve"> </w:t>
      </w:r>
      <w:r w:rsidRPr="0044496C">
        <w:rPr>
          <w:rFonts w:ascii="Arial" w:hAnsi="Arial" w:cs="Arial"/>
          <w:i/>
          <w:sz w:val="24"/>
          <w:u w:val="single"/>
        </w:rPr>
        <w:t>application</w:t>
      </w:r>
      <w:r w:rsidRPr="0044496C">
        <w:rPr>
          <w:rFonts w:ascii="Arial" w:hAnsi="Arial" w:cs="Arial"/>
          <w:i/>
          <w:spacing w:val="13"/>
          <w:sz w:val="24"/>
        </w:rPr>
        <w:t xml:space="preserve"> </w:t>
      </w:r>
      <w:r w:rsidRPr="0044496C">
        <w:rPr>
          <w:rFonts w:ascii="Arial" w:hAnsi="Arial" w:cs="Arial"/>
          <w:i/>
          <w:sz w:val="24"/>
        </w:rPr>
        <w:t>under</w:t>
      </w:r>
      <w:r w:rsidRPr="0044496C">
        <w:rPr>
          <w:rFonts w:ascii="Arial" w:hAnsi="Arial" w:cs="Arial"/>
          <w:i/>
          <w:spacing w:val="13"/>
          <w:sz w:val="24"/>
        </w:rPr>
        <w:t xml:space="preserve"> </w:t>
      </w:r>
      <w:r w:rsidRPr="0044496C">
        <w:rPr>
          <w:rFonts w:ascii="Arial" w:hAnsi="Arial" w:cs="Arial"/>
          <w:i/>
          <w:sz w:val="24"/>
        </w:rPr>
        <w:t>paragraph</w:t>
      </w:r>
      <w:r w:rsidRPr="0044496C">
        <w:rPr>
          <w:rFonts w:ascii="Arial" w:hAnsi="Arial" w:cs="Arial"/>
          <w:i/>
          <w:spacing w:val="13"/>
          <w:sz w:val="24"/>
        </w:rPr>
        <w:t xml:space="preserve"> </w:t>
      </w:r>
      <w:r w:rsidRPr="0044496C">
        <w:rPr>
          <w:rFonts w:ascii="Arial" w:hAnsi="Arial" w:cs="Arial"/>
          <w:i/>
          <w:sz w:val="24"/>
        </w:rPr>
        <w:t>1</w:t>
      </w:r>
      <w:r w:rsidRPr="0044496C">
        <w:rPr>
          <w:rFonts w:ascii="Arial" w:hAnsi="Arial" w:cs="Arial"/>
          <w:i/>
          <w:spacing w:val="14"/>
          <w:sz w:val="24"/>
        </w:rPr>
        <w:t xml:space="preserve"> </w:t>
      </w:r>
      <w:r w:rsidRPr="0044496C">
        <w:rPr>
          <w:rFonts w:ascii="Arial" w:hAnsi="Arial" w:cs="Arial"/>
          <w:i/>
          <w:sz w:val="24"/>
          <w:u w:val="single"/>
        </w:rPr>
        <w:t>shall</w:t>
      </w:r>
      <w:r w:rsidRPr="0044496C">
        <w:rPr>
          <w:rFonts w:ascii="Arial" w:hAnsi="Arial" w:cs="Arial"/>
          <w:i/>
          <w:spacing w:val="13"/>
          <w:sz w:val="24"/>
          <w:u w:val="single"/>
        </w:rPr>
        <w:t xml:space="preserve"> </w:t>
      </w:r>
      <w:r w:rsidRPr="0044496C">
        <w:rPr>
          <w:rFonts w:ascii="Arial" w:hAnsi="Arial" w:cs="Arial"/>
          <w:i/>
          <w:sz w:val="24"/>
          <w:u w:val="single"/>
        </w:rPr>
        <w:t>include</w:t>
      </w:r>
      <w:r w:rsidRPr="0044496C">
        <w:rPr>
          <w:rFonts w:ascii="Arial" w:hAnsi="Arial" w:cs="Arial"/>
          <w:i/>
          <w:spacing w:val="12"/>
          <w:sz w:val="24"/>
          <w:u w:val="single"/>
        </w:rPr>
        <w:t xml:space="preserve"> </w:t>
      </w:r>
      <w:r w:rsidRPr="0044496C">
        <w:rPr>
          <w:rFonts w:ascii="Arial" w:hAnsi="Arial" w:cs="Arial"/>
          <w:i/>
          <w:sz w:val="24"/>
          <w:u w:val="single"/>
        </w:rPr>
        <w:t>sufficient</w:t>
      </w:r>
      <w:r w:rsidRPr="0044496C">
        <w:rPr>
          <w:rFonts w:ascii="Arial" w:hAnsi="Arial" w:cs="Arial"/>
          <w:i/>
          <w:spacing w:val="13"/>
          <w:sz w:val="24"/>
          <w:u w:val="single"/>
        </w:rPr>
        <w:t xml:space="preserve"> </w:t>
      </w:r>
      <w:r w:rsidRPr="0044496C">
        <w:rPr>
          <w:rFonts w:ascii="Arial" w:hAnsi="Arial" w:cs="Arial"/>
          <w:i/>
          <w:sz w:val="24"/>
          <w:u w:val="single"/>
        </w:rPr>
        <w:t>evidence</w:t>
      </w:r>
      <w:r w:rsidRPr="0044496C">
        <w:rPr>
          <w:rFonts w:ascii="Arial" w:hAnsi="Arial" w:cs="Arial"/>
          <w:i/>
          <w:spacing w:val="12"/>
          <w:sz w:val="24"/>
          <w:u w:val="single"/>
        </w:rPr>
        <w:t xml:space="preserve"> </w:t>
      </w:r>
      <w:r w:rsidRPr="0044496C">
        <w:rPr>
          <w:rFonts w:ascii="Arial" w:hAnsi="Arial" w:cs="Arial"/>
          <w:i/>
          <w:sz w:val="24"/>
          <w:u w:val="single"/>
        </w:rPr>
        <w:t>of</w:t>
      </w:r>
      <w:r w:rsidRPr="0044496C">
        <w:rPr>
          <w:rFonts w:ascii="Arial" w:hAnsi="Arial" w:cs="Arial"/>
          <w:i/>
          <w:spacing w:val="13"/>
          <w:sz w:val="24"/>
          <w:u w:val="single"/>
        </w:rPr>
        <w:t xml:space="preserve"> </w:t>
      </w:r>
      <w:r w:rsidRPr="0044496C">
        <w:rPr>
          <w:rFonts w:ascii="Arial" w:hAnsi="Arial" w:cs="Arial"/>
          <w:i/>
          <w:sz w:val="24"/>
          <w:u w:val="single"/>
        </w:rPr>
        <w:t>the</w:t>
      </w:r>
      <w:r w:rsidRPr="0044496C">
        <w:rPr>
          <w:rFonts w:ascii="Arial" w:hAnsi="Arial" w:cs="Arial"/>
          <w:i/>
          <w:spacing w:val="12"/>
          <w:sz w:val="24"/>
          <w:u w:val="single"/>
        </w:rPr>
        <w:t xml:space="preserve"> </w:t>
      </w:r>
      <w:r w:rsidRPr="0044496C">
        <w:rPr>
          <w:rFonts w:ascii="Arial" w:hAnsi="Arial" w:cs="Arial"/>
          <w:i/>
          <w:sz w:val="24"/>
          <w:u w:val="single"/>
        </w:rPr>
        <w:t>existence</w:t>
      </w:r>
      <w:r w:rsidRPr="0044496C">
        <w:rPr>
          <w:rFonts w:ascii="Arial" w:hAnsi="Arial" w:cs="Arial"/>
          <w:i/>
          <w:spacing w:val="13"/>
          <w:sz w:val="24"/>
          <w:u w:val="single"/>
        </w:rPr>
        <w:t xml:space="preserve"> </w:t>
      </w:r>
      <w:r w:rsidRPr="0044496C">
        <w:rPr>
          <w:rFonts w:ascii="Arial" w:hAnsi="Arial" w:cs="Arial"/>
          <w:i/>
          <w:sz w:val="24"/>
          <w:u w:val="single"/>
        </w:rPr>
        <w:t>of</w:t>
      </w:r>
      <w:r>
        <w:rPr>
          <w:rFonts w:ascii="Arial" w:hAnsi="Arial" w:cs="Arial" w:hint="eastAsia"/>
          <w:i/>
          <w:sz w:val="24"/>
          <w:u w:val="single"/>
        </w:rPr>
        <w:t xml:space="preserve"> </w:t>
      </w:r>
      <w:r w:rsidRPr="0044496C">
        <w:rPr>
          <w:rFonts w:ascii="Arial" w:hAnsi="Arial" w:cs="Arial"/>
          <w:i/>
          <w:sz w:val="24"/>
        </w:rPr>
        <w:t xml:space="preserve">(a) </w:t>
      </w:r>
      <w:r w:rsidRPr="0044496C">
        <w:rPr>
          <w:rFonts w:ascii="Arial" w:hAnsi="Arial" w:cs="Arial"/>
          <w:i/>
          <w:sz w:val="24"/>
          <w:u w:val="single"/>
        </w:rPr>
        <w:t>a subsidy and, if possible, its amount</w:t>
      </w:r>
      <w:r w:rsidRPr="0044496C">
        <w:rPr>
          <w:rFonts w:ascii="Arial" w:hAnsi="Arial" w:cs="Arial"/>
          <w:i/>
          <w:sz w:val="24"/>
        </w:rPr>
        <w:t xml:space="preserve">, (b) injury within the meaning of Article VI of </w:t>
      </w:r>
      <w:r w:rsidRPr="0044496C">
        <w:rPr>
          <w:rFonts w:ascii="Arial" w:hAnsi="Arial" w:cs="Arial"/>
          <w:i/>
          <w:spacing w:val="-3"/>
          <w:sz w:val="24"/>
        </w:rPr>
        <w:t>GATT</w:t>
      </w:r>
      <w:r w:rsidRPr="0044496C">
        <w:rPr>
          <w:rFonts w:ascii="Arial" w:hAnsi="Arial" w:cs="Arial"/>
          <w:i/>
          <w:spacing w:val="-17"/>
          <w:sz w:val="24"/>
        </w:rPr>
        <w:t xml:space="preserve"> </w:t>
      </w:r>
      <w:r w:rsidRPr="0044496C">
        <w:rPr>
          <w:rFonts w:ascii="Arial" w:hAnsi="Arial" w:cs="Arial"/>
          <w:i/>
          <w:sz w:val="24"/>
        </w:rPr>
        <w:t>1994</w:t>
      </w:r>
      <w:r w:rsidRPr="0044496C">
        <w:rPr>
          <w:rFonts w:ascii="Arial" w:hAnsi="Arial" w:cs="Arial"/>
          <w:i/>
          <w:spacing w:val="-12"/>
          <w:sz w:val="24"/>
        </w:rPr>
        <w:t xml:space="preserve"> </w:t>
      </w:r>
      <w:r w:rsidRPr="0044496C">
        <w:rPr>
          <w:rFonts w:ascii="Arial" w:hAnsi="Arial" w:cs="Arial"/>
          <w:i/>
          <w:sz w:val="24"/>
        </w:rPr>
        <w:t>as</w:t>
      </w:r>
      <w:r w:rsidRPr="0044496C">
        <w:rPr>
          <w:rFonts w:ascii="Arial" w:hAnsi="Arial" w:cs="Arial"/>
          <w:i/>
          <w:spacing w:val="-12"/>
          <w:sz w:val="24"/>
        </w:rPr>
        <w:t xml:space="preserve"> </w:t>
      </w:r>
      <w:r w:rsidRPr="0044496C">
        <w:rPr>
          <w:rFonts w:ascii="Arial" w:hAnsi="Arial" w:cs="Arial"/>
          <w:i/>
          <w:sz w:val="24"/>
        </w:rPr>
        <w:t>interpreted</w:t>
      </w:r>
      <w:r w:rsidRPr="0044496C">
        <w:rPr>
          <w:rFonts w:ascii="Arial" w:hAnsi="Arial" w:cs="Arial"/>
          <w:i/>
          <w:spacing w:val="-13"/>
          <w:sz w:val="24"/>
        </w:rPr>
        <w:t xml:space="preserve"> </w:t>
      </w:r>
      <w:r w:rsidRPr="0044496C">
        <w:rPr>
          <w:rFonts w:ascii="Arial" w:hAnsi="Arial" w:cs="Arial"/>
          <w:i/>
          <w:sz w:val="24"/>
        </w:rPr>
        <w:t>by</w:t>
      </w:r>
      <w:r w:rsidRPr="0044496C">
        <w:rPr>
          <w:rFonts w:ascii="Arial" w:hAnsi="Arial" w:cs="Arial"/>
          <w:i/>
          <w:spacing w:val="-13"/>
          <w:sz w:val="24"/>
        </w:rPr>
        <w:t xml:space="preserve"> </w:t>
      </w:r>
      <w:r w:rsidRPr="0044496C">
        <w:rPr>
          <w:rFonts w:ascii="Arial" w:hAnsi="Arial" w:cs="Arial"/>
          <w:i/>
          <w:sz w:val="24"/>
        </w:rPr>
        <w:t>this</w:t>
      </w:r>
      <w:r w:rsidRPr="0044496C">
        <w:rPr>
          <w:rFonts w:ascii="Arial" w:hAnsi="Arial" w:cs="Arial"/>
          <w:i/>
          <w:spacing w:val="-17"/>
          <w:sz w:val="24"/>
        </w:rPr>
        <w:t xml:space="preserve"> </w:t>
      </w:r>
      <w:r w:rsidRPr="0044496C">
        <w:rPr>
          <w:rFonts w:ascii="Arial" w:hAnsi="Arial" w:cs="Arial"/>
          <w:i/>
          <w:sz w:val="24"/>
        </w:rPr>
        <w:t>Agreement,</w:t>
      </w:r>
      <w:r w:rsidRPr="0044496C">
        <w:rPr>
          <w:rFonts w:ascii="Arial" w:hAnsi="Arial" w:cs="Arial"/>
          <w:i/>
          <w:spacing w:val="-13"/>
          <w:sz w:val="24"/>
        </w:rPr>
        <w:t xml:space="preserve"> </w:t>
      </w:r>
      <w:r w:rsidRPr="0044496C">
        <w:rPr>
          <w:rFonts w:ascii="Arial" w:hAnsi="Arial" w:cs="Arial"/>
          <w:i/>
          <w:sz w:val="24"/>
        </w:rPr>
        <w:t>and</w:t>
      </w:r>
      <w:r w:rsidRPr="0044496C">
        <w:rPr>
          <w:rFonts w:ascii="Arial" w:hAnsi="Arial" w:cs="Arial"/>
          <w:i/>
          <w:spacing w:val="-10"/>
          <w:sz w:val="24"/>
        </w:rPr>
        <w:t xml:space="preserve"> </w:t>
      </w:r>
      <w:r w:rsidRPr="0044496C">
        <w:rPr>
          <w:rFonts w:ascii="Arial" w:hAnsi="Arial" w:cs="Arial"/>
          <w:i/>
          <w:sz w:val="24"/>
        </w:rPr>
        <w:t>(c)</w:t>
      </w:r>
      <w:r w:rsidRPr="0044496C">
        <w:rPr>
          <w:rFonts w:ascii="Arial" w:hAnsi="Arial" w:cs="Arial"/>
          <w:i/>
          <w:spacing w:val="-14"/>
          <w:sz w:val="24"/>
        </w:rPr>
        <w:t xml:space="preserve"> </w:t>
      </w:r>
      <w:r w:rsidRPr="0044496C">
        <w:rPr>
          <w:rFonts w:ascii="Arial" w:hAnsi="Arial" w:cs="Arial"/>
          <w:i/>
          <w:sz w:val="24"/>
        </w:rPr>
        <w:t>a</w:t>
      </w:r>
      <w:r w:rsidRPr="0044496C">
        <w:rPr>
          <w:rFonts w:ascii="Arial" w:hAnsi="Arial" w:cs="Arial"/>
          <w:i/>
          <w:spacing w:val="-10"/>
          <w:sz w:val="24"/>
        </w:rPr>
        <w:t xml:space="preserve"> </w:t>
      </w:r>
      <w:r w:rsidRPr="0044496C">
        <w:rPr>
          <w:rFonts w:ascii="Arial" w:hAnsi="Arial" w:cs="Arial"/>
          <w:i/>
          <w:sz w:val="24"/>
        </w:rPr>
        <w:t>causal</w:t>
      </w:r>
      <w:r w:rsidRPr="0044496C">
        <w:rPr>
          <w:rFonts w:ascii="Arial" w:hAnsi="Arial" w:cs="Arial"/>
          <w:i/>
          <w:spacing w:val="-13"/>
          <w:sz w:val="24"/>
        </w:rPr>
        <w:t xml:space="preserve"> </w:t>
      </w:r>
      <w:r w:rsidRPr="0044496C">
        <w:rPr>
          <w:rFonts w:ascii="Arial" w:hAnsi="Arial" w:cs="Arial"/>
          <w:i/>
          <w:sz w:val="24"/>
        </w:rPr>
        <w:t>link</w:t>
      </w:r>
      <w:r w:rsidRPr="0044496C">
        <w:rPr>
          <w:rFonts w:ascii="Arial" w:hAnsi="Arial" w:cs="Arial"/>
          <w:i/>
          <w:spacing w:val="-13"/>
          <w:sz w:val="24"/>
        </w:rPr>
        <w:t xml:space="preserve"> </w:t>
      </w:r>
      <w:r w:rsidRPr="0044496C">
        <w:rPr>
          <w:rFonts w:ascii="Arial" w:hAnsi="Arial" w:cs="Arial"/>
          <w:i/>
          <w:sz w:val="24"/>
        </w:rPr>
        <w:t>between</w:t>
      </w:r>
      <w:r w:rsidRPr="0044496C">
        <w:rPr>
          <w:rFonts w:ascii="Arial" w:hAnsi="Arial" w:cs="Arial"/>
          <w:i/>
          <w:spacing w:val="-10"/>
          <w:sz w:val="24"/>
        </w:rPr>
        <w:t xml:space="preserve"> </w:t>
      </w:r>
      <w:r w:rsidRPr="0044496C">
        <w:rPr>
          <w:rFonts w:ascii="Arial" w:hAnsi="Arial" w:cs="Arial"/>
          <w:i/>
          <w:sz w:val="24"/>
        </w:rPr>
        <w:t>the</w:t>
      </w:r>
      <w:r w:rsidRPr="0044496C">
        <w:rPr>
          <w:rFonts w:ascii="Arial" w:hAnsi="Arial" w:cs="Arial"/>
          <w:i/>
          <w:spacing w:val="-13"/>
          <w:sz w:val="24"/>
        </w:rPr>
        <w:t xml:space="preserve"> </w:t>
      </w:r>
      <w:r w:rsidRPr="0044496C">
        <w:rPr>
          <w:rFonts w:ascii="Arial" w:hAnsi="Arial" w:cs="Arial"/>
          <w:i/>
          <w:sz w:val="24"/>
        </w:rPr>
        <w:t xml:space="preserve">subsidized imports and the alleged injury. </w:t>
      </w:r>
      <w:r w:rsidRPr="0044496C">
        <w:rPr>
          <w:rFonts w:ascii="Arial" w:hAnsi="Arial" w:cs="Arial"/>
          <w:i/>
          <w:sz w:val="24"/>
          <w:u w:val="single"/>
        </w:rPr>
        <w:t>Simple assertion, unsubstantiated by relevant evidence,</w:t>
      </w:r>
      <w:r w:rsidRPr="0044496C">
        <w:rPr>
          <w:rFonts w:ascii="Arial" w:hAnsi="Arial" w:cs="Arial"/>
          <w:i/>
          <w:sz w:val="24"/>
        </w:rPr>
        <w:t xml:space="preserve"> </w:t>
      </w:r>
      <w:r w:rsidRPr="0044496C">
        <w:rPr>
          <w:rFonts w:ascii="Arial" w:hAnsi="Arial" w:cs="Arial"/>
          <w:i/>
          <w:sz w:val="24"/>
          <w:u w:val="single"/>
        </w:rPr>
        <w:t>cannot be</w:t>
      </w:r>
      <w:r>
        <w:rPr>
          <w:rFonts w:ascii="Arial" w:hAnsi="Arial" w:cs="Arial" w:hint="eastAsia"/>
          <w:i/>
          <w:sz w:val="24"/>
          <w:u w:val="single"/>
        </w:rPr>
        <w:t xml:space="preserve"> </w:t>
      </w:r>
      <w:r w:rsidRPr="0044496C">
        <w:rPr>
          <w:rFonts w:ascii="Arial" w:hAnsi="Arial" w:cs="Arial"/>
          <w:i/>
          <w:sz w:val="24"/>
          <w:u w:val="single"/>
        </w:rPr>
        <w:t xml:space="preserve">considered </w:t>
      </w:r>
      <w:r w:rsidRPr="0044496C">
        <w:rPr>
          <w:rFonts w:ascii="Arial" w:hAnsi="Arial" w:cs="Arial"/>
          <w:i/>
          <w:spacing w:val="18"/>
          <w:sz w:val="24"/>
          <w:u w:val="single"/>
        </w:rPr>
        <w:t xml:space="preserve"> </w:t>
      </w:r>
      <w:r w:rsidRPr="0044496C">
        <w:rPr>
          <w:rFonts w:ascii="Arial" w:hAnsi="Arial" w:cs="Arial"/>
          <w:i/>
          <w:sz w:val="24"/>
          <w:u w:val="single"/>
        </w:rPr>
        <w:t xml:space="preserve">sufficient </w:t>
      </w:r>
      <w:r w:rsidRPr="0044496C">
        <w:rPr>
          <w:rFonts w:ascii="Arial" w:hAnsi="Arial" w:cs="Arial"/>
          <w:i/>
          <w:spacing w:val="16"/>
          <w:sz w:val="24"/>
          <w:u w:val="single"/>
        </w:rPr>
        <w:t xml:space="preserve"> </w:t>
      </w:r>
      <w:r w:rsidRPr="0044496C">
        <w:rPr>
          <w:rFonts w:ascii="Arial" w:hAnsi="Arial" w:cs="Arial"/>
          <w:i/>
          <w:sz w:val="24"/>
          <w:u w:val="single"/>
        </w:rPr>
        <w:t xml:space="preserve">to </w:t>
      </w:r>
      <w:r w:rsidRPr="0044496C">
        <w:rPr>
          <w:rFonts w:ascii="Arial" w:hAnsi="Arial" w:cs="Arial"/>
          <w:i/>
          <w:spacing w:val="16"/>
          <w:sz w:val="24"/>
          <w:u w:val="single"/>
        </w:rPr>
        <w:t xml:space="preserve"> </w:t>
      </w:r>
      <w:r w:rsidRPr="0044496C">
        <w:rPr>
          <w:rFonts w:ascii="Arial" w:hAnsi="Arial" w:cs="Arial"/>
          <w:i/>
          <w:sz w:val="24"/>
          <w:u w:val="single"/>
        </w:rPr>
        <w:t xml:space="preserve">meet </w:t>
      </w:r>
      <w:r w:rsidRPr="0044496C">
        <w:rPr>
          <w:rFonts w:ascii="Arial" w:hAnsi="Arial" w:cs="Arial"/>
          <w:i/>
          <w:spacing w:val="16"/>
          <w:sz w:val="24"/>
          <w:u w:val="single"/>
        </w:rPr>
        <w:t xml:space="preserve"> </w:t>
      </w:r>
      <w:r w:rsidRPr="0044496C">
        <w:rPr>
          <w:rFonts w:ascii="Arial" w:hAnsi="Arial" w:cs="Arial"/>
          <w:i/>
          <w:sz w:val="24"/>
          <w:u w:val="single"/>
        </w:rPr>
        <w:t xml:space="preserve">the </w:t>
      </w:r>
      <w:r w:rsidRPr="0044496C">
        <w:rPr>
          <w:rFonts w:ascii="Arial" w:hAnsi="Arial" w:cs="Arial"/>
          <w:i/>
          <w:spacing w:val="17"/>
          <w:sz w:val="24"/>
          <w:u w:val="single"/>
        </w:rPr>
        <w:t xml:space="preserve"> </w:t>
      </w:r>
      <w:r w:rsidRPr="0044496C">
        <w:rPr>
          <w:rFonts w:ascii="Arial" w:hAnsi="Arial" w:cs="Arial"/>
          <w:i/>
          <w:sz w:val="24"/>
          <w:u w:val="single"/>
        </w:rPr>
        <w:t xml:space="preserve">requirements </w:t>
      </w:r>
      <w:r w:rsidRPr="0044496C">
        <w:rPr>
          <w:rFonts w:ascii="Arial" w:hAnsi="Arial" w:cs="Arial"/>
          <w:i/>
          <w:spacing w:val="16"/>
          <w:sz w:val="24"/>
          <w:u w:val="single"/>
        </w:rPr>
        <w:t xml:space="preserve"> </w:t>
      </w:r>
      <w:r w:rsidRPr="0044496C">
        <w:rPr>
          <w:rFonts w:ascii="Arial" w:hAnsi="Arial" w:cs="Arial"/>
          <w:i/>
          <w:sz w:val="24"/>
          <w:u w:val="single"/>
        </w:rPr>
        <w:t xml:space="preserve">of </w:t>
      </w:r>
      <w:r w:rsidRPr="0044496C">
        <w:rPr>
          <w:rFonts w:ascii="Arial" w:hAnsi="Arial" w:cs="Arial"/>
          <w:i/>
          <w:spacing w:val="18"/>
          <w:sz w:val="24"/>
          <w:u w:val="single"/>
        </w:rPr>
        <w:t xml:space="preserve"> </w:t>
      </w:r>
      <w:r w:rsidRPr="0044496C">
        <w:rPr>
          <w:rFonts w:ascii="Arial" w:hAnsi="Arial" w:cs="Arial"/>
          <w:i/>
          <w:sz w:val="24"/>
          <w:u w:val="single"/>
        </w:rPr>
        <w:t xml:space="preserve">this </w:t>
      </w:r>
      <w:r w:rsidRPr="0044496C">
        <w:rPr>
          <w:rFonts w:ascii="Arial" w:hAnsi="Arial" w:cs="Arial"/>
          <w:i/>
          <w:spacing w:val="16"/>
          <w:sz w:val="24"/>
          <w:u w:val="single"/>
        </w:rPr>
        <w:t xml:space="preserve"> </w:t>
      </w:r>
      <w:r w:rsidRPr="0044496C">
        <w:rPr>
          <w:rFonts w:ascii="Arial" w:hAnsi="Arial" w:cs="Arial"/>
          <w:i/>
          <w:sz w:val="24"/>
          <w:u w:val="single"/>
        </w:rPr>
        <w:t>paragraph</w:t>
      </w:r>
      <w:r w:rsidRPr="0044496C">
        <w:rPr>
          <w:rFonts w:ascii="Arial" w:hAnsi="Arial" w:cs="Arial"/>
          <w:i/>
          <w:sz w:val="24"/>
        </w:rPr>
        <w:t xml:space="preserve">. </w:t>
      </w:r>
      <w:r w:rsidRPr="0044496C">
        <w:rPr>
          <w:rFonts w:ascii="Arial" w:hAnsi="Arial" w:cs="Arial"/>
          <w:i/>
          <w:spacing w:val="17"/>
          <w:sz w:val="24"/>
        </w:rPr>
        <w:t xml:space="preserve"> </w:t>
      </w:r>
      <w:r w:rsidRPr="0044496C">
        <w:rPr>
          <w:rFonts w:ascii="Arial" w:hAnsi="Arial" w:cs="Arial"/>
          <w:i/>
          <w:sz w:val="24"/>
        </w:rPr>
        <w:t>The</w:t>
      </w:r>
      <w:r>
        <w:rPr>
          <w:rFonts w:ascii="Arial" w:hAnsi="Arial" w:cs="Arial" w:hint="eastAsia"/>
          <w:i/>
          <w:sz w:val="24"/>
        </w:rPr>
        <w:t xml:space="preserve"> </w:t>
      </w:r>
      <w:r w:rsidRPr="0044496C">
        <w:rPr>
          <w:rFonts w:ascii="Arial" w:hAnsi="Arial" w:cs="Arial"/>
          <w:i/>
          <w:sz w:val="24"/>
        </w:rPr>
        <w:t>application shall contain such information as is reasonably available to the applicant on the following:</w:t>
      </w:r>
    </w:p>
    <w:p w14:paraId="1C1D2377" w14:textId="68F77B17" w:rsidR="0044496C" w:rsidRDefault="0044496C" w:rsidP="009A453E">
      <w:pPr>
        <w:spacing w:line="275" w:lineRule="exact"/>
        <w:ind w:left="1440" w:right="-46"/>
        <w:rPr>
          <w:rFonts w:ascii="Arial" w:hAnsi="Arial" w:cs="Arial"/>
          <w:i/>
          <w:sz w:val="24"/>
        </w:rPr>
      </w:pPr>
      <w:r w:rsidRPr="0044496C">
        <w:rPr>
          <w:rFonts w:ascii="Arial" w:hAnsi="Arial" w:cs="Arial"/>
          <w:i/>
          <w:sz w:val="24"/>
        </w:rPr>
        <w:t>[…] (iii) evidence with regard to the existence, amount and nature of the subsidy in question; […].” (Underlining added).</w:t>
      </w:r>
    </w:p>
    <w:p w14:paraId="42FBA117" w14:textId="77777777" w:rsidR="0044496C" w:rsidRPr="0044496C" w:rsidRDefault="0044496C" w:rsidP="0044496C"/>
    <w:p w14:paraId="6021BE9F" w14:textId="77777777" w:rsidR="0044496C" w:rsidRPr="0044496C" w:rsidRDefault="0044496C" w:rsidP="0044496C">
      <w:pPr>
        <w:pStyle w:val="a9"/>
        <w:widowControl w:val="0"/>
        <w:numPr>
          <w:ilvl w:val="0"/>
          <w:numId w:val="1"/>
        </w:numPr>
        <w:autoSpaceDE w:val="0"/>
        <w:autoSpaceDN w:val="0"/>
        <w:spacing w:before="110"/>
        <w:ind w:right="-46" w:hanging="720"/>
        <w:rPr>
          <w:rFonts w:ascii="Arial" w:hAnsi="Arial" w:cs="Arial"/>
          <w:sz w:val="24"/>
        </w:rPr>
      </w:pPr>
      <w:r w:rsidRPr="0044496C">
        <w:rPr>
          <w:rFonts w:ascii="Arial" w:hAnsi="Arial" w:cs="Arial"/>
          <w:sz w:val="24"/>
        </w:rPr>
        <w:t>In addition, Article 11.3 of the SCM Agreement requires investigating authorities to “</w:t>
      </w:r>
      <w:r w:rsidRPr="0044496C">
        <w:rPr>
          <w:rFonts w:ascii="Arial" w:hAnsi="Arial" w:cs="Arial"/>
          <w:i/>
          <w:iCs/>
          <w:sz w:val="24"/>
        </w:rPr>
        <w:t>review the accuracy and adequacy of the evidence provided in the application to determine whether the evidence is sufficient to justify the initiation of an investigation.</w:t>
      </w:r>
      <w:r w:rsidRPr="0044496C">
        <w:rPr>
          <w:rFonts w:ascii="Arial" w:hAnsi="Arial" w:cs="Arial"/>
          <w:sz w:val="24"/>
        </w:rPr>
        <w:t>”</w:t>
      </w:r>
    </w:p>
    <w:p w14:paraId="099ABD45" w14:textId="77777777" w:rsidR="0044496C" w:rsidRPr="0044496C" w:rsidRDefault="0044496C" w:rsidP="0044496C">
      <w:pPr>
        <w:pStyle w:val="a7"/>
        <w:rPr>
          <w:rFonts w:ascii="Arial" w:hAnsi="Arial" w:cs="Arial"/>
          <w:sz w:val="21"/>
        </w:rPr>
      </w:pPr>
    </w:p>
    <w:p w14:paraId="105BBBF0" w14:textId="6385E207" w:rsidR="0044496C" w:rsidRDefault="0044496C" w:rsidP="0044496C">
      <w:pPr>
        <w:pStyle w:val="a9"/>
        <w:widowControl w:val="0"/>
        <w:numPr>
          <w:ilvl w:val="0"/>
          <w:numId w:val="1"/>
        </w:numPr>
        <w:autoSpaceDE w:val="0"/>
        <w:autoSpaceDN w:val="0"/>
        <w:spacing w:before="110"/>
        <w:ind w:right="-46" w:hanging="720"/>
        <w:rPr>
          <w:rFonts w:ascii="Arial" w:hAnsi="Arial" w:cs="Arial"/>
          <w:sz w:val="24"/>
        </w:rPr>
      </w:pPr>
      <w:r w:rsidRPr="0044496C">
        <w:rPr>
          <w:rFonts w:ascii="Arial" w:hAnsi="Arial" w:cs="Arial"/>
          <w:sz w:val="24"/>
        </w:rPr>
        <w:t xml:space="preserve">As noted by the Panel in </w:t>
      </w:r>
      <w:r w:rsidRPr="009A453E">
        <w:rPr>
          <w:rFonts w:ascii="Arial" w:hAnsi="Arial" w:cs="Arial"/>
          <w:i/>
          <w:iCs/>
          <w:sz w:val="24"/>
        </w:rPr>
        <w:t>US – Supercalendered Paper</w:t>
      </w:r>
      <w:r w:rsidRPr="0044496C">
        <w:rPr>
          <w:rFonts w:ascii="Arial" w:hAnsi="Arial" w:cs="Arial"/>
          <w:sz w:val="24"/>
        </w:rPr>
        <w:t xml:space="preserve">, the obligation of WTO Members in relation to the assessment of the sufficiency of evidence in an </w:t>
      </w:r>
      <w:r w:rsidRPr="0044496C">
        <w:rPr>
          <w:rFonts w:ascii="Arial" w:hAnsi="Arial" w:cs="Arial"/>
          <w:sz w:val="24"/>
        </w:rPr>
        <w:lastRenderedPageBreak/>
        <w:t>application finds expression in Article 11.3 of the SCM Agreement and must be read together with Article 11.2, meaning that “</w:t>
      </w:r>
      <w:r w:rsidRPr="0044496C">
        <w:rPr>
          <w:rFonts w:ascii="Arial" w:hAnsi="Arial" w:cs="Arial"/>
          <w:i/>
          <w:iCs/>
          <w:sz w:val="24"/>
        </w:rPr>
        <w:t>if an investigating authority initiates an investigation without sufficient evidence, it acts inconsistently with Article 11.3 of the SCM Agreement.</w:t>
      </w:r>
      <w:r w:rsidRPr="0044496C">
        <w:rPr>
          <w:rFonts w:ascii="Arial" w:hAnsi="Arial" w:cs="Arial"/>
          <w:sz w:val="24"/>
        </w:rPr>
        <w:t>”</w:t>
      </w:r>
      <w:r>
        <w:rPr>
          <w:rStyle w:val="ab"/>
          <w:rFonts w:ascii="Arial" w:hAnsi="Arial" w:cs="Arial"/>
          <w:sz w:val="24"/>
        </w:rPr>
        <w:footnoteReference w:id="5"/>
      </w:r>
    </w:p>
    <w:p w14:paraId="4E87E952" w14:textId="77777777" w:rsidR="0044496C" w:rsidRPr="0044496C" w:rsidRDefault="0044496C" w:rsidP="0044496C">
      <w:pPr>
        <w:pStyle w:val="a9"/>
        <w:rPr>
          <w:rFonts w:ascii="Arial" w:hAnsi="Arial" w:cs="Arial"/>
          <w:sz w:val="24"/>
        </w:rPr>
      </w:pPr>
    </w:p>
    <w:p w14:paraId="13E1C07F" w14:textId="2472A023" w:rsidR="0045188A" w:rsidRPr="00411A4F" w:rsidRDefault="0044496C" w:rsidP="0044496C">
      <w:pPr>
        <w:pStyle w:val="a9"/>
        <w:numPr>
          <w:ilvl w:val="0"/>
          <w:numId w:val="1"/>
        </w:numPr>
        <w:ind w:hanging="720"/>
        <w:rPr>
          <w:rFonts w:ascii="Arial" w:hAnsi="Arial" w:cs="Arial"/>
        </w:rPr>
      </w:pPr>
      <w:r w:rsidRPr="0044496C">
        <w:rPr>
          <w:rFonts w:ascii="Arial" w:hAnsi="Arial" w:cs="Arial"/>
          <w:sz w:val="24"/>
        </w:rPr>
        <w:t xml:space="preserve">In </w:t>
      </w:r>
      <w:r w:rsidRPr="0044496C">
        <w:rPr>
          <w:rFonts w:ascii="Arial" w:hAnsi="Arial" w:cs="Arial"/>
          <w:i/>
          <w:sz w:val="24"/>
        </w:rPr>
        <w:t>China – GOES</w:t>
      </w:r>
      <w:r w:rsidRPr="0044496C">
        <w:rPr>
          <w:rFonts w:ascii="Arial" w:hAnsi="Arial" w:cs="Arial"/>
          <w:sz w:val="24"/>
        </w:rPr>
        <w:t xml:space="preserve">, the Panel clarified that, as implied by the language of Article </w:t>
      </w:r>
      <w:r w:rsidRPr="0044496C">
        <w:rPr>
          <w:rFonts w:ascii="Arial" w:hAnsi="Arial" w:cs="Arial"/>
          <w:spacing w:val="-3"/>
          <w:sz w:val="24"/>
        </w:rPr>
        <w:t xml:space="preserve">11.3 </w:t>
      </w:r>
      <w:r w:rsidRPr="0044496C">
        <w:rPr>
          <w:rFonts w:ascii="Arial" w:hAnsi="Arial" w:cs="Arial"/>
          <w:sz w:val="24"/>
        </w:rPr>
        <w:t>of the SCM Agreement, a part of the investigating authority's determination of whether there is “</w:t>
      </w:r>
      <w:r w:rsidRPr="0044496C">
        <w:rPr>
          <w:rFonts w:ascii="Arial" w:hAnsi="Arial" w:cs="Arial"/>
          <w:i/>
          <w:sz w:val="24"/>
        </w:rPr>
        <w:t>sufficient evidence</w:t>
      </w:r>
      <w:r w:rsidRPr="0044496C">
        <w:rPr>
          <w:rFonts w:ascii="Arial" w:hAnsi="Arial" w:cs="Arial"/>
          <w:sz w:val="24"/>
        </w:rPr>
        <w:t>” to justify the initiation of an investigation must entail an “</w:t>
      </w:r>
      <w:r w:rsidRPr="0044496C">
        <w:rPr>
          <w:rFonts w:ascii="Arial" w:hAnsi="Arial" w:cs="Arial"/>
          <w:i/>
          <w:sz w:val="24"/>
        </w:rPr>
        <w:t xml:space="preserve">assessment of the accuracy and adequacy </w:t>
      </w:r>
      <w:r w:rsidRPr="0044496C">
        <w:rPr>
          <w:rFonts w:ascii="Arial" w:hAnsi="Arial" w:cs="Arial"/>
          <w:i/>
          <w:sz w:val="24"/>
          <w:u w:val="single"/>
        </w:rPr>
        <w:t>of the evidence furnished</w:t>
      </w:r>
      <w:r w:rsidRPr="0044496C">
        <w:rPr>
          <w:rFonts w:ascii="Arial" w:hAnsi="Arial" w:cs="Arial"/>
          <w:sz w:val="24"/>
        </w:rPr>
        <w:t>.”</w:t>
      </w:r>
      <w:r>
        <w:rPr>
          <w:rStyle w:val="ab"/>
          <w:rFonts w:ascii="Arial" w:hAnsi="Arial" w:cs="Arial"/>
          <w:sz w:val="24"/>
        </w:rPr>
        <w:footnoteReference w:id="6"/>
      </w:r>
      <w:r w:rsidRPr="0044496C">
        <w:rPr>
          <w:rFonts w:ascii="Arial" w:hAnsi="Arial" w:cs="Arial"/>
          <w:sz w:val="24"/>
        </w:rPr>
        <w:t xml:space="preserve"> In that case, the Panel laid out</w:t>
      </w:r>
      <w:r w:rsidRPr="0044496C">
        <w:rPr>
          <w:rFonts w:ascii="Arial" w:hAnsi="Arial" w:cs="Arial"/>
          <w:spacing w:val="-22"/>
          <w:sz w:val="24"/>
        </w:rPr>
        <w:t xml:space="preserve"> </w:t>
      </w:r>
      <w:r w:rsidRPr="0044496C">
        <w:rPr>
          <w:rFonts w:ascii="Arial" w:hAnsi="Arial" w:cs="Arial"/>
          <w:sz w:val="24"/>
        </w:rPr>
        <w:t xml:space="preserve">certain criteria to be applied by investigating authorities to determine whether the initiation of a countervailing duty investigation is justified on the basis of the evidence submitted in an application, and it clarified that an applicant is required to provide sufficient evidence of the </w:t>
      </w:r>
      <w:r w:rsidRPr="0044496C">
        <w:rPr>
          <w:rFonts w:ascii="Arial" w:hAnsi="Arial" w:cs="Arial"/>
          <w:sz w:val="24"/>
          <w:u w:val="single"/>
        </w:rPr>
        <w:t>existence and the nature of a subsidy</w:t>
      </w:r>
      <w:r w:rsidRPr="0044496C">
        <w:rPr>
          <w:rFonts w:ascii="Arial" w:hAnsi="Arial" w:cs="Arial"/>
          <w:sz w:val="24"/>
        </w:rPr>
        <w:t>.</w:t>
      </w:r>
      <w:r>
        <w:rPr>
          <w:rStyle w:val="ab"/>
          <w:rFonts w:ascii="Arial" w:hAnsi="Arial" w:cs="Arial"/>
          <w:sz w:val="24"/>
        </w:rPr>
        <w:footnoteReference w:id="7"/>
      </w:r>
      <w:r w:rsidRPr="0044496C">
        <w:rPr>
          <w:rFonts w:ascii="Arial" w:hAnsi="Arial" w:cs="Arial"/>
          <w:sz w:val="24"/>
        </w:rPr>
        <w:t xml:space="preserve"> </w:t>
      </w:r>
      <w:r w:rsidRPr="0044496C">
        <w:rPr>
          <w:rFonts w:ascii="Arial" w:hAnsi="Arial" w:cs="Arial"/>
          <w:sz w:val="24"/>
          <w:u w:val="single"/>
        </w:rPr>
        <w:t>Evidence of the “</w:t>
      </w:r>
      <w:r w:rsidRPr="0044496C">
        <w:rPr>
          <w:rFonts w:ascii="Arial" w:hAnsi="Arial" w:cs="Arial"/>
          <w:i/>
          <w:sz w:val="24"/>
          <w:u w:val="single"/>
        </w:rPr>
        <w:t>existence of a subsidy</w:t>
      </w:r>
      <w:r w:rsidRPr="0044496C">
        <w:rPr>
          <w:rFonts w:ascii="Arial" w:hAnsi="Arial" w:cs="Arial"/>
          <w:sz w:val="24"/>
          <w:u w:val="single"/>
        </w:rPr>
        <w:t>” requires</w:t>
      </w:r>
      <w:r w:rsidRPr="0044496C">
        <w:rPr>
          <w:rFonts w:ascii="Arial" w:hAnsi="Arial" w:cs="Arial"/>
          <w:sz w:val="24"/>
        </w:rPr>
        <w:t xml:space="preserve"> </w:t>
      </w:r>
      <w:r w:rsidRPr="0044496C">
        <w:rPr>
          <w:rFonts w:ascii="Arial" w:hAnsi="Arial" w:cs="Arial"/>
          <w:sz w:val="24"/>
          <w:u w:val="single"/>
        </w:rPr>
        <w:t>evidence of a financial contribution by a government or public body and a benefit to the</w:t>
      </w:r>
      <w:r w:rsidRPr="0044496C">
        <w:rPr>
          <w:rFonts w:ascii="Arial" w:hAnsi="Arial" w:cs="Arial"/>
          <w:sz w:val="24"/>
        </w:rPr>
        <w:t xml:space="preserve"> </w:t>
      </w:r>
      <w:r w:rsidRPr="0044496C">
        <w:rPr>
          <w:rFonts w:ascii="Arial" w:hAnsi="Arial" w:cs="Arial"/>
          <w:sz w:val="24"/>
          <w:u w:val="single"/>
        </w:rPr>
        <w:t>recipient</w:t>
      </w:r>
      <w:r w:rsidRPr="0044496C">
        <w:rPr>
          <w:rFonts w:ascii="Arial" w:hAnsi="Arial" w:cs="Arial"/>
          <w:sz w:val="24"/>
        </w:rPr>
        <w:t>.</w:t>
      </w:r>
      <w:r>
        <w:rPr>
          <w:rStyle w:val="ab"/>
          <w:rFonts w:ascii="Arial" w:hAnsi="Arial" w:cs="Arial"/>
          <w:sz w:val="24"/>
        </w:rPr>
        <w:footnoteReference w:id="8"/>
      </w:r>
      <w:r w:rsidRPr="0044496C">
        <w:rPr>
          <w:rFonts w:ascii="Arial" w:hAnsi="Arial" w:cs="Arial"/>
          <w:sz w:val="24"/>
        </w:rPr>
        <w:t xml:space="preserve"> The Panel further clarified that there must be evidence of the existence of a</w:t>
      </w:r>
      <w:r w:rsidRPr="0044496C">
        <w:rPr>
          <w:rFonts w:ascii="Arial" w:hAnsi="Arial" w:cs="Arial"/>
          <w:spacing w:val="-27"/>
          <w:sz w:val="24"/>
        </w:rPr>
        <w:t xml:space="preserve"> </w:t>
      </w:r>
      <w:r w:rsidRPr="0044496C">
        <w:rPr>
          <w:rFonts w:ascii="Arial" w:hAnsi="Arial" w:cs="Arial"/>
          <w:sz w:val="24"/>
          <w:u w:val="single"/>
        </w:rPr>
        <w:t>present</w:t>
      </w:r>
      <w:r w:rsidRPr="0044496C">
        <w:rPr>
          <w:rFonts w:ascii="Arial" w:hAnsi="Arial" w:cs="Arial"/>
          <w:sz w:val="24"/>
        </w:rPr>
        <w:t xml:space="preserve"> </w:t>
      </w:r>
      <w:r w:rsidRPr="0044496C">
        <w:rPr>
          <w:rFonts w:ascii="Arial" w:hAnsi="Arial" w:cs="Arial"/>
          <w:spacing w:val="-3"/>
          <w:sz w:val="24"/>
        </w:rPr>
        <w:t xml:space="preserve">subsidy, </w:t>
      </w:r>
      <w:r w:rsidRPr="0044496C">
        <w:rPr>
          <w:rFonts w:ascii="Arial" w:hAnsi="Arial" w:cs="Arial"/>
          <w:sz w:val="24"/>
        </w:rPr>
        <w:t>including the existence of a benefit during the investigation period.</w:t>
      </w:r>
      <w:r>
        <w:rPr>
          <w:rStyle w:val="ab"/>
          <w:rFonts w:ascii="Arial" w:hAnsi="Arial" w:cs="Arial"/>
          <w:sz w:val="24"/>
        </w:rPr>
        <w:footnoteReference w:id="9"/>
      </w:r>
      <w:r w:rsidRPr="0044496C">
        <w:rPr>
          <w:rFonts w:ascii="Arial" w:hAnsi="Arial" w:cs="Arial"/>
          <w:sz w:val="24"/>
        </w:rPr>
        <w:t xml:space="preserve"> The </w:t>
      </w:r>
      <w:r w:rsidRPr="0044496C">
        <w:rPr>
          <w:rFonts w:ascii="Arial" w:hAnsi="Arial" w:cs="Arial"/>
          <w:sz w:val="24"/>
          <w:u w:val="single"/>
        </w:rPr>
        <w:t>evidence of</w:t>
      </w:r>
      <w:r w:rsidRPr="0044496C">
        <w:rPr>
          <w:rFonts w:ascii="Arial" w:hAnsi="Arial" w:cs="Arial"/>
          <w:sz w:val="24"/>
        </w:rPr>
        <w:t xml:space="preserve"> </w:t>
      </w:r>
      <w:r w:rsidRPr="0044496C">
        <w:rPr>
          <w:rFonts w:ascii="Arial" w:hAnsi="Arial" w:cs="Arial"/>
          <w:sz w:val="24"/>
          <w:u w:val="single"/>
        </w:rPr>
        <w:t>the “</w:t>
      </w:r>
      <w:r w:rsidRPr="0044496C">
        <w:rPr>
          <w:rFonts w:ascii="Arial" w:hAnsi="Arial" w:cs="Arial"/>
          <w:i/>
          <w:sz w:val="24"/>
          <w:u w:val="single"/>
        </w:rPr>
        <w:t>nature of the subsidy</w:t>
      </w:r>
      <w:r w:rsidRPr="0044496C">
        <w:rPr>
          <w:rFonts w:ascii="Arial" w:hAnsi="Arial" w:cs="Arial"/>
          <w:sz w:val="24"/>
          <w:u w:val="single"/>
        </w:rPr>
        <w:t>” includes evidence regarding whether the subsidy is specific</w:t>
      </w:r>
      <w:r w:rsidRPr="0044496C">
        <w:rPr>
          <w:rFonts w:ascii="Arial" w:hAnsi="Arial" w:cs="Arial"/>
          <w:sz w:val="24"/>
        </w:rPr>
        <w:t>.</w:t>
      </w:r>
      <w:r>
        <w:rPr>
          <w:rStyle w:val="ab"/>
          <w:rFonts w:ascii="Arial" w:hAnsi="Arial" w:cs="Arial"/>
          <w:sz w:val="24"/>
        </w:rPr>
        <w:footnoteReference w:id="10"/>
      </w:r>
      <w:r w:rsidRPr="0044496C">
        <w:rPr>
          <w:rFonts w:ascii="Arial" w:hAnsi="Arial" w:cs="Arial"/>
          <w:sz w:val="24"/>
        </w:rPr>
        <w:t xml:space="preserve"> Accordingly, it is not enough to adduce evidence of only one of the three elements of a countervailable</w:t>
      </w:r>
      <w:r w:rsidRPr="0044496C">
        <w:rPr>
          <w:rFonts w:ascii="Arial" w:hAnsi="Arial" w:cs="Arial"/>
          <w:spacing w:val="-8"/>
          <w:sz w:val="24"/>
        </w:rPr>
        <w:t xml:space="preserve"> </w:t>
      </w:r>
      <w:r w:rsidRPr="0044496C">
        <w:rPr>
          <w:rFonts w:ascii="Arial" w:hAnsi="Arial" w:cs="Arial"/>
          <w:spacing w:val="-3"/>
          <w:sz w:val="24"/>
        </w:rPr>
        <w:t>subsidy,</w:t>
      </w:r>
      <w:r w:rsidRPr="0044496C">
        <w:rPr>
          <w:rFonts w:ascii="Arial" w:hAnsi="Arial" w:cs="Arial"/>
          <w:spacing w:val="-8"/>
          <w:sz w:val="24"/>
        </w:rPr>
        <w:t xml:space="preserve"> </w:t>
      </w:r>
      <w:r w:rsidRPr="0044496C">
        <w:rPr>
          <w:rFonts w:ascii="Arial" w:hAnsi="Arial" w:cs="Arial"/>
          <w:i/>
          <w:sz w:val="24"/>
        </w:rPr>
        <w:t>i.e.</w:t>
      </w:r>
      <w:r w:rsidRPr="0044496C">
        <w:rPr>
          <w:rFonts w:ascii="Arial" w:hAnsi="Arial" w:cs="Arial"/>
          <w:sz w:val="24"/>
        </w:rPr>
        <w:t>,</w:t>
      </w:r>
      <w:r w:rsidRPr="0044496C">
        <w:rPr>
          <w:rFonts w:ascii="Arial" w:hAnsi="Arial" w:cs="Arial"/>
          <w:spacing w:val="-10"/>
          <w:sz w:val="24"/>
        </w:rPr>
        <w:t xml:space="preserve"> </w:t>
      </w:r>
      <w:r w:rsidRPr="0044496C">
        <w:rPr>
          <w:rFonts w:ascii="Arial" w:hAnsi="Arial" w:cs="Arial"/>
          <w:sz w:val="24"/>
        </w:rPr>
        <w:t>financial</w:t>
      </w:r>
      <w:r w:rsidRPr="0044496C">
        <w:rPr>
          <w:rFonts w:ascii="Arial" w:hAnsi="Arial" w:cs="Arial"/>
          <w:spacing w:val="-9"/>
          <w:sz w:val="24"/>
        </w:rPr>
        <w:t xml:space="preserve"> </w:t>
      </w:r>
      <w:r w:rsidRPr="0044496C">
        <w:rPr>
          <w:rFonts w:ascii="Arial" w:hAnsi="Arial" w:cs="Arial"/>
          <w:sz w:val="24"/>
        </w:rPr>
        <w:t>contribution</w:t>
      </w:r>
      <w:r w:rsidRPr="0044496C">
        <w:rPr>
          <w:rFonts w:ascii="Arial" w:hAnsi="Arial" w:cs="Arial"/>
          <w:spacing w:val="-7"/>
          <w:sz w:val="24"/>
        </w:rPr>
        <w:t xml:space="preserve"> </w:t>
      </w:r>
      <w:r w:rsidRPr="0044496C">
        <w:rPr>
          <w:rFonts w:ascii="Arial" w:hAnsi="Arial" w:cs="Arial"/>
          <w:sz w:val="24"/>
        </w:rPr>
        <w:t>by</w:t>
      </w:r>
      <w:r w:rsidRPr="0044496C">
        <w:rPr>
          <w:rFonts w:ascii="Arial" w:hAnsi="Arial" w:cs="Arial"/>
          <w:spacing w:val="-10"/>
          <w:sz w:val="24"/>
        </w:rPr>
        <w:t xml:space="preserve"> </w:t>
      </w:r>
      <w:r w:rsidRPr="0044496C">
        <w:rPr>
          <w:rFonts w:ascii="Arial" w:hAnsi="Arial" w:cs="Arial"/>
          <w:sz w:val="24"/>
        </w:rPr>
        <w:t>a</w:t>
      </w:r>
      <w:r w:rsidRPr="0044496C">
        <w:rPr>
          <w:rFonts w:ascii="Arial" w:hAnsi="Arial" w:cs="Arial"/>
          <w:spacing w:val="-11"/>
          <w:sz w:val="24"/>
        </w:rPr>
        <w:t xml:space="preserve"> </w:t>
      </w:r>
      <w:r w:rsidRPr="0044496C">
        <w:rPr>
          <w:rFonts w:ascii="Arial" w:hAnsi="Arial" w:cs="Arial"/>
          <w:sz w:val="24"/>
        </w:rPr>
        <w:t>public</w:t>
      </w:r>
      <w:r w:rsidRPr="0044496C">
        <w:rPr>
          <w:rFonts w:ascii="Arial" w:hAnsi="Arial" w:cs="Arial"/>
          <w:spacing w:val="-11"/>
          <w:sz w:val="24"/>
        </w:rPr>
        <w:t xml:space="preserve"> </w:t>
      </w:r>
      <w:r w:rsidRPr="0044496C">
        <w:rPr>
          <w:rFonts w:ascii="Arial" w:hAnsi="Arial" w:cs="Arial"/>
          <w:spacing w:val="-3"/>
          <w:sz w:val="24"/>
        </w:rPr>
        <w:t>body,</w:t>
      </w:r>
      <w:r w:rsidRPr="0044496C">
        <w:rPr>
          <w:rFonts w:ascii="Arial" w:hAnsi="Arial" w:cs="Arial"/>
          <w:spacing w:val="-9"/>
          <w:sz w:val="24"/>
        </w:rPr>
        <w:t xml:space="preserve"> </w:t>
      </w:r>
      <w:r w:rsidRPr="0044496C">
        <w:rPr>
          <w:rFonts w:ascii="Arial" w:hAnsi="Arial" w:cs="Arial"/>
          <w:sz w:val="24"/>
        </w:rPr>
        <w:t>benefit,</w:t>
      </w:r>
      <w:r w:rsidRPr="0044496C">
        <w:rPr>
          <w:rFonts w:ascii="Arial" w:hAnsi="Arial" w:cs="Arial"/>
          <w:spacing w:val="-9"/>
          <w:sz w:val="24"/>
        </w:rPr>
        <w:t xml:space="preserve"> </w:t>
      </w:r>
      <w:r w:rsidRPr="0044496C">
        <w:rPr>
          <w:rFonts w:ascii="Arial" w:hAnsi="Arial" w:cs="Arial"/>
          <w:sz w:val="24"/>
        </w:rPr>
        <w:t>or</w:t>
      </w:r>
      <w:r w:rsidRPr="0044496C">
        <w:rPr>
          <w:rFonts w:ascii="Arial" w:hAnsi="Arial" w:cs="Arial"/>
          <w:spacing w:val="-10"/>
          <w:sz w:val="24"/>
        </w:rPr>
        <w:t xml:space="preserve"> </w:t>
      </w:r>
      <w:r w:rsidRPr="0044496C">
        <w:rPr>
          <w:rFonts w:ascii="Arial" w:hAnsi="Arial" w:cs="Arial"/>
          <w:sz w:val="24"/>
        </w:rPr>
        <w:t>specificity.</w:t>
      </w:r>
      <w:r w:rsidRPr="0044496C">
        <w:rPr>
          <w:rFonts w:ascii="Arial" w:hAnsi="Arial" w:cs="Arial"/>
          <w:spacing w:val="-12"/>
          <w:sz w:val="24"/>
        </w:rPr>
        <w:t xml:space="preserve"> </w:t>
      </w:r>
      <w:r w:rsidRPr="0044496C">
        <w:rPr>
          <w:rFonts w:ascii="Arial" w:hAnsi="Arial" w:cs="Arial"/>
          <w:sz w:val="24"/>
        </w:rPr>
        <w:t xml:space="preserve">The </w:t>
      </w:r>
      <w:r w:rsidRPr="0044496C">
        <w:rPr>
          <w:rFonts w:ascii="Arial" w:hAnsi="Arial" w:cs="Arial"/>
          <w:i/>
          <w:sz w:val="24"/>
        </w:rPr>
        <w:t>GOES</w:t>
      </w:r>
      <w:r w:rsidRPr="0044496C">
        <w:rPr>
          <w:rFonts w:ascii="Arial" w:hAnsi="Arial" w:cs="Arial"/>
          <w:i/>
          <w:spacing w:val="-12"/>
          <w:sz w:val="24"/>
        </w:rPr>
        <w:t xml:space="preserve"> </w:t>
      </w:r>
      <w:r w:rsidRPr="0044496C">
        <w:rPr>
          <w:rFonts w:ascii="Arial" w:hAnsi="Arial" w:cs="Arial"/>
          <w:sz w:val="24"/>
        </w:rPr>
        <w:t>Panel</w:t>
      </w:r>
      <w:r w:rsidRPr="0044496C">
        <w:rPr>
          <w:rFonts w:ascii="Arial" w:hAnsi="Arial" w:cs="Arial"/>
          <w:spacing w:val="-8"/>
          <w:sz w:val="24"/>
        </w:rPr>
        <w:t xml:space="preserve"> </w:t>
      </w:r>
      <w:r w:rsidRPr="0044496C">
        <w:rPr>
          <w:rFonts w:ascii="Arial" w:hAnsi="Arial" w:cs="Arial"/>
          <w:sz w:val="24"/>
        </w:rPr>
        <w:t>further</w:t>
      </w:r>
      <w:r w:rsidRPr="0044496C">
        <w:rPr>
          <w:rFonts w:ascii="Arial" w:hAnsi="Arial" w:cs="Arial"/>
          <w:spacing w:val="-12"/>
          <w:sz w:val="24"/>
        </w:rPr>
        <w:t xml:space="preserve"> </w:t>
      </w:r>
      <w:r w:rsidRPr="0044496C">
        <w:rPr>
          <w:rFonts w:ascii="Arial" w:hAnsi="Arial" w:cs="Arial"/>
          <w:sz w:val="24"/>
        </w:rPr>
        <w:t>noted</w:t>
      </w:r>
      <w:r w:rsidRPr="0044496C">
        <w:rPr>
          <w:rFonts w:ascii="Arial" w:hAnsi="Arial" w:cs="Arial"/>
          <w:spacing w:val="-11"/>
          <w:sz w:val="24"/>
        </w:rPr>
        <w:t xml:space="preserve"> </w:t>
      </w:r>
      <w:r w:rsidRPr="0044496C">
        <w:rPr>
          <w:rFonts w:ascii="Arial" w:hAnsi="Arial" w:cs="Arial"/>
          <w:sz w:val="24"/>
        </w:rPr>
        <w:t>that</w:t>
      </w:r>
      <w:r w:rsidRPr="0044496C">
        <w:rPr>
          <w:rFonts w:ascii="Arial" w:hAnsi="Arial" w:cs="Arial"/>
          <w:spacing w:val="-11"/>
          <w:sz w:val="24"/>
        </w:rPr>
        <w:t xml:space="preserve"> </w:t>
      </w:r>
      <w:r w:rsidRPr="0044496C">
        <w:rPr>
          <w:rFonts w:ascii="Arial" w:hAnsi="Arial" w:cs="Arial"/>
          <w:sz w:val="24"/>
        </w:rPr>
        <w:t>“</w:t>
      </w:r>
      <w:r w:rsidRPr="0044496C">
        <w:rPr>
          <w:rFonts w:ascii="Arial" w:hAnsi="Arial" w:cs="Arial"/>
          <w:i/>
          <w:sz w:val="24"/>
        </w:rPr>
        <w:t>sufficient</w:t>
      </w:r>
      <w:r w:rsidRPr="0044496C">
        <w:rPr>
          <w:rFonts w:ascii="Arial" w:hAnsi="Arial" w:cs="Arial"/>
          <w:i/>
          <w:spacing w:val="-8"/>
          <w:sz w:val="24"/>
        </w:rPr>
        <w:t xml:space="preserve"> </w:t>
      </w:r>
      <w:r w:rsidRPr="0044496C">
        <w:rPr>
          <w:rFonts w:ascii="Arial" w:hAnsi="Arial" w:cs="Arial"/>
          <w:i/>
          <w:sz w:val="24"/>
        </w:rPr>
        <w:t>evidence</w:t>
      </w:r>
      <w:r w:rsidRPr="0044496C">
        <w:rPr>
          <w:rFonts w:ascii="Arial" w:hAnsi="Arial" w:cs="Arial"/>
          <w:sz w:val="24"/>
        </w:rPr>
        <w:t>”</w:t>
      </w:r>
      <w:r w:rsidRPr="0044496C">
        <w:rPr>
          <w:rFonts w:ascii="Arial" w:hAnsi="Arial" w:cs="Arial"/>
          <w:spacing w:val="-12"/>
          <w:sz w:val="24"/>
        </w:rPr>
        <w:t xml:space="preserve"> </w:t>
      </w:r>
      <w:r w:rsidRPr="0044496C">
        <w:rPr>
          <w:rFonts w:ascii="Arial" w:hAnsi="Arial" w:cs="Arial"/>
          <w:sz w:val="24"/>
        </w:rPr>
        <w:t>regarding</w:t>
      </w:r>
      <w:r w:rsidRPr="0044496C">
        <w:rPr>
          <w:rFonts w:ascii="Arial" w:hAnsi="Arial" w:cs="Arial"/>
          <w:spacing w:val="-11"/>
          <w:sz w:val="24"/>
        </w:rPr>
        <w:t xml:space="preserve"> </w:t>
      </w:r>
      <w:r w:rsidRPr="0044496C">
        <w:rPr>
          <w:rFonts w:ascii="Arial" w:hAnsi="Arial" w:cs="Arial"/>
          <w:sz w:val="24"/>
        </w:rPr>
        <w:t>the</w:t>
      </w:r>
      <w:r w:rsidRPr="0044496C">
        <w:rPr>
          <w:rFonts w:ascii="Arial" w:hAnsi="Arial" w:cs="Arial"/>
          <w:spacing w:val="-9"/>
          <w:sz w:val="24"/>
        </w:rPr>
        <w:t xml:space="preserve"> </w:t>
      </w:r>
      <w:r w:rsidRPr="0044496C">
        <w:rPr>
          <w:rFonts w:ascii="Arial" w:hAnsi="Arial" w:cs="Arial"/>
          <w:sz w:val="24"/>
        </w:rPr>
        <w:t>existence,</w:t>
      </w:r>
      <w:r w:rsidRPr="0044496C">
        <w:rPr>
          <w:rFonts w:ascii="Arial" w:hAnsi="Arial" w:cs="Arial"/>
          <w:spacing w:val="-12"/>
          <w:sz w:val="24"/>
        </w:rPr>
        <w:t xml:space="preserve"> </w:t>
      </w:r>
      <w:r w:rsidRPr="0044496C">
        <w:rPr>
          <w:rFonts w:ascii="Arial" w:hAnsi="Arial" w:cs="Arial"/>
          <w:sz w:val="24"/>
        </w:rPr>
        <w:t>amount</w:t>
      </w:r>
      <w:r w:rsidRPr="0044496C">
        <w:rPr>
          <w:rFonts w:ascii="Arial" w:hAnsi="Arial" w:cs="Arial"/>
          <w:spacing w:val="-8"/>
          <w:sz w:val="24"/>
        </w:rPr>
        <w:t xml:space="preserve"> </w:t>
      </w:r>
      <w:r w:rsidRPr="0044496C">
        <w:rPr>
          <w:rFonts w:ascii="Arial" w:hAnsi="Arial" w:cs="Arial"/>
          <w:sz w:val="24"/>
        </w:rPr>
        <w:t>and</w:t>
      </w:r>
      <w:r w:rsidRPr="0044496C">
        <w:rPr>
          <w:rFonts w:ascii="Arial" w:hAnsi="Arial" w:cs="Arial"/>
          <w:spacing w:val="-11"/>
          <w:sz w:val="24"/>
        </w:rPr>
        <w:t xml:space="preserve"> </w:t>
      </w:r>
      <w:r w:rsidRPr="0044496C">
        <w:rPr>
          <w:rFonts w:ascii="Arial" w:hAnsi="Arial" w:cs="Arial"/>
          <w:sz w:val="24"/>
        </w:rPr>
        <w:t>nature</w:t>
      </w:r>
      <w:r w:rsidR="00411A4F">
        <w:rPr>
          <w:rFonts w:ascii="Arial" w:hAnsi="Arial" w:cs="Arial" w:hint="eastAsia"/>
          <w:sz w:val="24"/>
        </w:rPr>
        <w:t xml:space="preserve"> </w:t>
      </w:r>
      <w:r w:rsidR="00411A4F" w:rsidRPr="00411A4F">
        <w:rPr>
          <w:rFonts w:ascii="Arial" w:hAnsi="Arial" w:cs="Arial"/>
          <w:sz w:val="24"/>
        </w:rPr>
        <w:t>of the alleged subsidies implies that “</w:t>
      </w:r>
      <w:r w:rsidR="00411A4F" w:rsidRPr="00F86337">
        <w:rPr>
          <w:rFonts w:ascii="Arial" w:hAnsi="Arial" w:cs="Arial"/>
          <w:i/>
          <w:iCs/>
          <w:sz w:val="24"/>
        </w:rPr>
        <w:t>adequate evidence, tending to prove or indicating the existence of these elements, is required</w:t>
      </w:r>
      <w:r w:rsidR="00411A4F" w:rsidRPr="00411A4F">
        <w:rPr>
          <w:rFonts w:ascii="Arial" w:hAnsi="Arial" w:cs="Arial"/>
          <w:sz w:val="24"/>
        </w:rPr>
        <w:t>”.</w:t>
      </w:r>
      <w:r w:rsidR="00411A4F">
        <w:rPr>
          <w:rStyle w:val="ab"/>
          <w:rFonts w:ascii="Arial" w:hAnsi="Arial" w:cs="Arial"/>
          <w:sz w:val="24"/>
        </w:rPr>
        <w:footnoteReference w:id="11"/>
      </w:r>
    </w:p>
    <w:p w14:paraId="1E9DE031" w14:textId="77777777" w:rsidR="00411A4F" w:rsidRPr="00411A4F" w:rsidRDefault="00411A4F" w:rsidP="00411A4F">
      <w:pPr>
        <w:pStyle w:val="a9"/>
        <w:rPr>
          <w:rFonts w:ascii="Arial" w:hAnsi="Arial" w:cs="Arial"/>
        </w:rPr>
      </w:pPr>
    </w:p>
    <w:p w14:paraId="50F329C5" w14:textId="6BD5A322" w:rsidR="00F86337" w:rsidRPr="009A453E" w:rsidRDefault="00F86337" w:rsidP="00F86337">
      <w:pPr>
        <w:pStyle w:val="a9"/>
        <w:numPr>
          <w:ilvl w:val="0"/>
          <w:numId w:val="1"/>
        </w:numPr>
        <w:ind w:hanging="720"/>
        <w:rPr>
          <w:rFonts w:ascii="Arial" w:hAnsi="Arial" w:cs="Arial"/>
          <w:sz w:val="24"/>
          <w:szCs w:val="24"/>
        </w:rPr>
      </w:pPr>
      <w:r w:rsidRPr="009A453E">
        <w:rPr>
          <w:rFonts w:ascii="Arial" w:hAnsi="Arial" w:cs="Arial"/>
          <w:sz w:val="24"/>
          <w:szCs w:val="24"/>
        </w:rPr>
        <w:lastRenderedPageBreak/>
        <w:t xml:space="preserve">The above-mentioned legal standards concerning the sufficiency of the evidence in an application established by the Panel in China – GOES were reiterated by the Panel in </w:t>
      </w:r>
      <w:r w:rsidRPr="009A453E">
        <w:rPr>
          <w:rFonts w:ascii="Arial" w:hAnsi="Arial" w:cs="Arial"/>
          <w:i/>
          <w:iCs/>
          <w:sz w:val="24"/>
          <w:szCs w:val="24"/>
        </w:rPr>
        <w:t>US – Countervailing Duties (China)</w:t>
      </w:r>
      <w:r w:rsidRPr="009A453E">
        <w:rPr>
          <w:rFonts w:ascii="Arial" w:hAnsi="Arial" w:cs="Arial"/>
          <w:sz w:val="24"/>
          <w:szCs w:val="24"/>
        </w:rPr>
        <w:t>.</w:t>
      </w:r>
      <w:r w:rsidRPr="009A453E">
        <w:rPr>
          <w:rStyle w:val="ab"/>
          <w:rFonts w:ascii="Arial" w:hAnsi="Arial" w:cs="Arial"/>
          <w:sz w:val="24"/>
          <w:szCs w:val="24"/>
        </w:rPr>
        <w:footnoteReference w:id="12"/>
      </w:r>
    </w:p>
    <w:p w14:paraId="0A771CBA" w14:textId="77777777" w:rsidR="00F86337" w:rsidRPr="00F86337" w:rsidRDefault="00F86337" w:rsidP="00F86337">
      <w:pPr>
        <w:pStyle w:val="a9"/>
        <w:rPr>
          <w:rFonts w:ascii="Arial" w:hAnsi="Arial" w:cs="Arial"/>
        </w:rPr>
      </w:pPr>
    </w:p>
    <w:p w14:paraId="13481F22" w14:textId="77777777" w:rsidR="00F86337" w:rsidRPr="009A453E" w:rsidRDefault="00F86337" w:rsidP="00F86337">
      <w:pPr>
        <w:pStyle w:val="a9"/>
        <w:numPr>
          <w:ilvl w:val="0"/>
          <w:numId w:val="1"/>
        </w:numPr>
        <w:ind w:hanging="720"/>
        <w:rPr>
          <w:rFonts w:ascii="Arial" w:hAnsi="Arial" w:cs="Arial"/>
          <w:sz w:val="24"/>
          <w:szCs w:val="24"/>
        </w:rPr>
      </w:pPr>
      <w:r w:rsidRPr="009A453E">
        <w:rPr>
          <w:rFonts w:ascii="Arial" w:hAnsi="Arial" w:cs="Arial"/>
          <w:sz w:val="24"/>
          <w:szCs w:val="24"/>
        </w:rPr>
        <w:t>Finally, while WTO panels and the Appellate Body have not provided an exhaustive list of evidence and circumstances that meet the “sufficient evidence” standard regarding the nature, existence and amount of a subsidy, their rulings indicate that certain types of statements and assertions are inadequate to meet this standard including, among others, the following:</w:t>
      </w:r>
    </w:p>
    <w:p w14:paraId="50DF13D9" w14:textId="6DEE9E97" w:rsidR="00F86337" w:rsidRPr="009A453E" w:rsidRDefault="00F86337" w:rsidP="00F86337">
      <w:pPr>
        <w:pStyle w:val="a9"/>
        <w:numPr>
          <w:ilvl w:val="0"/>
          <w:numId w:val="31"/>
        </w:numPr>
        <w:rPr>
          <w:rFonts w:ascii="Arial" w:hAnsi="Arial" w:cs="Arial"/>
          <w:sz w:val="24"/>
          <w:szCs w:val="24"/>
        </w:rPr>
      </w:pPr>
      <w:r w:rsidRPr="009A453E">
        <w:rPr>
          <w:rFonts w:ascii="Arial" w:hAnsi="Arial" w:cs="Arial"/>
          <w:sz w:val="24"/>
          <w:szCs w:val="24"/>
        </w:rPr>
        <w:t>simple assertions unsubstantiated by relevant evidence;</w:t>
      </w:r>
      <w:r w:rsidRPr="009A453E">
        <w:rPr>
          <w:rStyle w:val="ab"/>
          <w:rFonts w:ascii="Arial" w:hAnsi="Arial" w:cs="Arial"/>
          <w:sz w:val="24"/>
          <w:szCs w:val="24"/>
        </w:rPr>
        <w:footnoteReference w:id="13"/>
      </w:r>
    </w:p>
    <w:p w14:paraId="19094406" w14:textId="47663CA9" w:rsidR="00F86337" w:rsidRPr="009A453E" w:rsidRDefault="00F86337" w:rsidP="00F86337">
      <w:pPr>
        <w:pStyle w:val="a9"/>
        <w:ind w:firstLine="720"/>
        <w:rPr>
          <w:rFonts w:ascii="Arial" w:hAnsi="Arial" w:cs="Arial"/>
          <w:sz w:val="24"/>
          <w:szCs w:val="24"/>
        </w:rPr>
      </w:pPr>
      <w:r w:rsidRPr="009A453E">
        <w:rPr>
          <w:rFonts w:ascii="Arial" w:hAnsi="Arial" w:cs="Arial" w:hint="eastAsia"/>
          <w:sz w:val="24"/>
          <w:szCs w:val="24"/>
        </w:rPr>
        <w:t>(ii)</w:t>
      </w:r>
      <w:r w:rsidRPr="009A453E">
        <w:rPr>
          <w:rFonts w:ascii="Arial" w:hAnsi="Arial" w:cs="Arial"/>
          <w:sz w:val="24"/>
          <w:szCs w:val="24"/>
        </w:rPr>
        <w:tab/>
      </w:r>
      <w:r w:rsidRPr="009A453E">
        <w:rPr>
          <w:rFonts w:ascii="Arial" w:hAnsi="Arial" w:cs="Arial" w:hint="eastAsia"/>
          <w:sz w:val="24"/>
          <w:szCs w:val="24"/>
        </w:rPr>
        <w:t>“</w:t>
      </w:r>
      <w:r w:rsidRPr="009A453E">
        <w:rPr>
          <w:rFonts w:ascii="Arial" w:hAnsi="Arial" w:cs="Arial"/>
          <w:sz w:val="24"/>
          <w:szCs w:val="24"/>
        </w:rPr>
        <w:t>[g]eneral information about government policy, with no direct connection to the subsidy programme at issue, is not ‘sufficient evidence’ of specificity.”</w:t>
      </w:r>
      <w:r w:rsidRPr="009A453E">
        <w:rPr>
          <w:rStyle w:val="ab"/>
          <w:rFonts w:ascii="Arial" w:hAnsi="Arial" w:cs="Arial"/>
          <w:sz w:val="24"/>
          <w:szCs w:val="24"/>
        </w:rPr>
        <w:footnoteReference w:id="14"/>
      </w:r>
    </w:p>
    <w:p w14:paraId="13836C01" w14:textId="1B0C694C" w:rsidR="00F86337" w:rsidRPr="009A453E" w:rsidRDefault="00F86337" w:rsidP="00F86337">
      <w:pPr>
        <w:pStyle w:val="a9"/>
        <w:ind w:firstLine="720"/>
        <w:rPr>
          <w:rFonts w:ascii="Arial" w:hAnsi="Arial" w:cs="Arial"/>
          <w:sz w:val="24"/>
          <w:szCs w:val="24"/>
        </w:rPr>
      </w:pPr>
      <w:r w:rsidRPr="009A453E">
        <w:rPr>
          <w:rFonts w:ascii="Arial" w:hAnsi="Arial" w:cs="Arial" w:hint="eastAsia"/>
          <w:sz w:val="24"/>
          <w:szCs w:val="24"/>
        </w:rPr>
        <w:t>(iii)</w:t>
      </w:r>
      <w:r w:rsidRPr="009A453E">
        <w:rPr>
          <w:rFonts w:ascii="Arial" w:hAnsi="Arial" w:cs="Arial"/>
          <w:sz w:val="24"/>
          <w:szCs w:val="24"/>
        </w:rPr>
        <w:tab/>
        <w:t>the fact that a company is the user of a program is not evidence that it is the sole or one of the limited users of the program thereby demonstrating specificity;</w:t>
      </w:r>
      <w:r w:rsidRPr="009A453E">
        <w:rPr>
          <w:rStyle w:val="ab"/>
          <w:rFonts w:ascii="Arial" w:hAnsi="Arial" w:cs="Arial"/>
          <w:sz w:val="24"/>
          <w:szCs w:val="24"/>
        </w:rPr>
        <w:footnoteReference w:id="15"/>
      </w:r>
      <w:r w:rsidRPr="009A453E">
        <w:rPr>
          <w:rFonts w:ascii="Arial" w:hAnsi="Arial" w:cs="Arial"/>
          <w:sz w:val="24"/>
          <w:szCs w:val="24"/>
        </w:rPr>
        <w:t xml:space="preserve"> and</w:t>
      </w:r>
    </w:p>
    <w:p w14:paraId="492B8778" w14:textId="207CA175" w:rsidR="00F86337" w:rsidRPr="00E26D8F" w:rsidRDefault="00F86337" w:rsidP="003D13B9">
      <w:pPr>
        <w:pStyle w:val="a9"/>
        <w:ind w:firstLine="720"/>
        <w:rPr>
          <w:rFonts w:ascii="Arial" w:hAnsi="Arial" w:cs="Arial"/>
          <w:sz w:val="24"/>
          <w:szCs w:val="24"/>
        </w:rPr>
      </w:pPr>
      <w:r w:rsidRPr="00E26D8F">
        <w:rPr>
          <w:rFonts w:ascii="Arial" w:hAnsi="Arial" w:cs="Arial" w:hint="eastAsia"/>
          <w:sz w:val="24"/>
          <w:szCs w:val="24"/>
        </w:rPr>
        <w:t>(iv)</w:t>
      </w:r>
      <w:r w:rsidRPr="00E26D8F">
        <w:rPr>
          <w:rFonts w:ascii="Arial" w:hAnsi="Arial" w:cs="Arial"/>
          <w:sz w:val="24"/>
          <w:szCs w:val="24"/>
        </w:rPr>
        <w:tab/>
        <w:t>in the absence of information on the allocation of the benefit of the subsidy to the proposed investigation period, the requirement to demonstrate the existence of a benefit in the expected investigation period is not met.</w:t>
      </w:r>
      <w:r w:rsidRPr="00E26D8F">
        <w:rPr>
          <w:rStyle w:val="ab"/>
          <w:rFonts w:ascii="Arial" w:hAnsi="Arial" w:cs="Arial"/>
          <w:sz w:val="24"/>
          <w:szCs w:val="24"/>
        </w:rPr>
        <w:footnoteReference w:id="16"/>
      </w:r>
    </w:p>
    <w:p w14:paraId="19AF386E" w14:textId="77777777" w:rsidR="003D13B9" w:rsidRPr="00E26D8F" w:rsidRDefault="003D13B9" w:rsidP="003D13B9">
      <w:pPr>
        <w:pStyle w:val="a9"/>
        <w:ind w:firstLine="720"/>
        <w:rPr>
          <w:rFonts w:ascii="Arial" w:hAnsi="Arial" w:cs="Arial"/>
          <w:sz w:val="24"/>
          <w:szCs w:val="24"/>
        </w:rPr>
      </w:pPr>
    </w:p>
    <w:p w14:paraId="45FF1380" w14:textId="7370CB13" w:rsidR="00F86337" w:rsidRPr="00E26D8F" w:rsidRDefault="00F86337" w:rsidP="00F86337">
      <w:pPr>
        <w:pStyle w:val="a9"/>
        <w:numPr>
          <w:ilvl w:val="0"/>
          <w:numId w:val="1"/>
        </w:numPr>
        <w:ind w:hanging="720"/>
        <w:rPr>
          <w:rFonts w:ascii="Arial" w:hAnsi="Arial" w:cs="Arial"/>
          <w:sz w:val="24"/>
          <w:szCs w:val="24"/>
        </w:rPr>
      </w:pPr>
      <w:r w:rsidRPr="00E26D8F">
        <w:rPr>
          <w:rFonts w:ascii="Arial" w:hAnsi="Arial" w:cs="Arial"/>
          <w:sz w:val="24"/>
          <w:szCs w:val="24"/>
        </w:rPr>
        <w:t>In addition, pursuant to Article 2.1(b) of the SCM Agreement, specificity does not exist if the granting authority – or the legislation pursuant to which the granting authority operates – establishes objective criteria or conditions governing the eligibility for and the amount of the subsidy, provided that (i) eligibility is automatic, (ii) such criteria or conditions are strictly adhered to, and (iii) such criteria or conditions are clearly spelt out in laws, regulations or other official documents, so as to be capable of verification.</w:t>
      </w:r>
    </w:p>
    <w:p w14:paraId="659BE200" w14:textId="77777777" w:rsidR="00F86337" w:rsidRPr="00F86337" w:rsidRDefault="00F86337" w:rsidP="001568DB">
      <w:pPr>
        <w:pStyle w:val="a9"/>
        <w:rPr>
          <w:rFonts w:ascii="Arial" w:hAnsi="Arial" w:cs="Arial"/>
        </w:rPr>
      </w:pPr>
    </w:p>
    <w:p w14:paraId="14C0703D" w14:textId="6E67ED4D" w:rsidR="00411A4F" w:rsidRPr="00E26D8F" w:rsidRDefault="00F86337" w:rsidP="001568DB">
      <w:pPr>
        <w:pStyle w:val="a9"/>
        <w:numPr>
          <w:ilvl w:val="0"/>
          <w:numId w:val="1"/>
        </w:numPr>
        <w:ind w:hanging="720"/>
        <w:rPr>
          <w:rFonts w:ascii="Arial" w:hAnsi="Arial" w:cs="Arial"/>
          <w:sz w:val="24"/>
          <w:szCs w:val="24"/>
        </w:rPr>
      </w:pPr>
      <w:r w:rsidRPr="00E26D8F">
        <w:rPr>
          <w:rFonts w:ascii="Arial" w:hAnsi="Arial" w:cs="Arial"/>
          <w:sz w:val="24"/>
          <w:szCs w:val="24"/>
        </w:rPr>
        <w:t>Against this legal background, the GOC notes that all the claims in the Application regarding subsidization do not meet the required evidentiary standards and are inadequate for the initiation of the present investigation.</w:t>
      </w:r>
      <w:r w:rsidR="00E26D8F">
        <w:rPr>
          <w:rFonts w:ascii="Arial" w:hAnsi="Arial" w:cs="Arial" w:hint="eastAsia"/>
          <w:sz w:val="24"/>
          <w:szCs w:val="24"/>
        </w:rPr>
        <w:t xml:space="preserve"> </w:t>
      </w:r>
      <w:r w:rsidR="00E26D8F" w:rsidRPr="00E26D8F">
        <w:rPr>
          <w:rFonts w:ascii="Arial" w:hAnsi="Arial" w:cs="Arial"/>
          <w:sz w:val="24"/>
          <w:szCs w:val="24"/>
        </w:rPr>
        <w:t>Therefore, the allegations of subsidization made in the Application should be rejected by the TRA.</w:t>
      </w:r>
    </w:p>
    <w:p w14:paraId="34A06E5C" w14:textId="77777777" w:rsidR="0045188A" w:rsidRPr="0045188A" w:rsidRDefault="0045188A" w:rsidP="0045188A"/>
    <w:p w14:paraId="370651A5" w14:textId="1B9A9E7E" w:rsidR="00956C33" w:rsidRDefault="00956C33" w:rsidP="00673F74">
      <w:pPr>
        <w:pStyle w:val="2"/>
        <w:ind w:left="720" w:hanging="720"/>
      </w:pPr>
      <w:bookmarkStart w:id="5" w:name="_Toc161355117"/>
      <w:r>
        <w:rPr>
          <w:rFonts w:hint="eastAsia"/>
        </w:rPr>
        <w:t>Excavator</w:t>
      </w:r>
      <w:r w:rsidRPr="00956C33">
        <w:t xml:space="preserve"> is not an “encouraged” industry</w:t>
      </w:r>
      <w:r w:rsidR="003320AB">
        <w:rPr>
          <w:rFonts w:hint="eastAsia"/>
        </w:rPr>
        <w:t>.</w:t>
      </w:r>
      <w:bookmarkEnd w:id="5"/>
    </w:p>
    <w:p w14:paraId="3C1F1BA0" w14:textId="5D4C47C8" w:rsidR="00956C33" w:rsidRPr="003320AB" w:rsidRDefault="00956C33" w:rsidP="003320AB">
      <w:pPr>
        <w:pStyle w:val="a9"/>
        <w:numPr>
          <w:ilvl w:val="0"/>
          <w:numId w:val="1"/>
        </w:numPr>
        <w:ind w:hanging="720"/>
        <w:rPr>
          <w:rFonts w:ascii="Arial" w:hAnsi="Arial" w:cs="Arial"/>
          <w:sz w:val="24"/>
          <w:szCs w:val="24"/>
        </w:rPr>
      </w:pPr>
      <w:r w:rsidRPr="003320AB">
        <w:rPr>
          <w:rFonts w:ascii="Arial" w:hAnsi="Arial" w:cs="Arial"/>
          <w:sz w:val="24"/>
          <w:szCs w:val="24"/>
        </w:rPr>
        <w:t xml:space="preserve">Based on Article 11.2 of the SCM Agreement, the GOC respectfully submits that the Applicant’s allegation that the </w:t>
      </w:r>
      <w:r w:rsidRPr="003320AB">
        <w:rPr>
          <w:rFonts w:ascii="Arial" w:hAnsi="Arial" w:cs="Arial" w:hint="eastAsia"/>
          <w:sz w:val="24"/>
          <w:szCs w:val="24"/>
        </w:rPr>
        <w:t>Excavator</w:t>
      </w:r>
      <w:r w:rsidRPr="003320AB">
        <w:rPr>
          <w:rFonts w:ascii="Arial" w:hAnsi="Arial" w:cs="Arial"/>
          <w:sz w:val="24"/>
          <w:szCs w:val="24"/>
        </w:rPr>
        <w:t xml:space="preserve"> industry is “</w:t>
      </w:r>
      <w:r w:rsidR="003320AB" w:rsidRPr="003320AB">
        <w:rPr>
          <w:rFonts w:ascii="Arial" w:hAnsi="Arial" w:cs="Arial"/>
          <w:sz w:val="24"/>
          <w:szCs w:val="24"/>
        </w:rPr>
        <w:t>of strategic importance</w:t>
      </w:r>
      <w:r w:rsidRPr="003320AB">
        <w:rPr>
          <w:rFonts w:ascii="Arial" w:hAnsi="Arial" w:cs="Arial"/>
          <w:sz w:val="24"/>
          <w:szCs w:val="24"/>
        </w:rPr>
        <w:t>”</w:t>
      </w:r>
      <w:r>
        <w:rPr>
          <w:rStyle w:val="ab"/>
          <w:rFonts w:ascii="Arial" w:hAnsi="Arial" w:cs="Arial"/>
          <w:sz w:val="24"/>
          <w:szCs w:val="24"/>
        </w:rPr>
        <w:footnoteReference w:id="17"/>
      </w:r>
      <w:r w:rsidRPr="003320AB">
        <w:rPr>
          <w:rFonts w:ascii="Arial" w:hAnsi="Arial" w:cs="Arial"/>
          <w:sz w:val="24"/>
          <w:szCs w:val="24"/>
        </w:rPr>
        <w:t xml:space="preserve"> is incorrect and does not show that the measures at issue are specific within the meaning of Article 2 of the SCM Agreement. The Applicant has extracted certain terms and phrases out of context from various Chinese documents, misrepresented others and tried to tie them together to show that the GOC allegedly promotes the </w:t>
      </w:r>
      <w:r w:rsidR="003320AB" w:rsidRPr="003320AB">
        <w:rPr>
          <w:rFonts w:ascii="Arial" w:hAnsi="Arial" w:cs="Arial" w:hint="eastAsia"/>
          <w:sz w:val="24"/>
          <w:szCs w:val="24"/>
        </w:rPr>
        <w:t>E</w:t>
      </w:r>
      <w:r w:rsidR="00BA0E9E">
        <w:rPr>
          <w:rFonts w:ascii="Arial" w:hAnsi="Arial" w:cs="Arial" w:hint="eastAsia"/>
          <w:sz w:val="24"/>
          <w:szCs w:val="24"/>
        </w:rPr>
        <w:t>x</w:t>
      </w:r>
      <w:r w:rsidR="003320AB" w:rsidRPr="003320AB">
        <w:rPr>
          <w:rFonts w:ascii="Arial" w:hAnsi="Arial" w:cs="Arial" w:hint="eastAsia"/>
          <w:sz w:val="24"/>
          <w:szCs w:val="24"/>
        </w:rPr>
        <w:t>cavator</w:t>
      </w:r>
      <w:r w:rsidRPr="003320AB">
        <w:rPr>
          <w:rFonts w:ascii="Arial" w:hAnsi="Arial" w:cs="Arial"/>
          <w:sz w:val="24"/>
          <w:szCs w:val="24"/>
        </w:rPr>
        <w:t xml:space="preserve"> industry. However, a complete reading of these documents would nevertheless demonstrate that the Applicant’s statements are baseless and not supported by any evidence, let alone “positive evidence”, as will be explained in more detail below.</w:t>
      </w:r>
    </w:p>
    <w:p w14:paraId="1073A750" w14:textId="77777777" w:rsidR="00956C33" w:rsidRDefault="00956C33" w:rsidP="00956C33">
      <w:pPr>
        <w:pStyle w:val="a7"/>
        <w:spacing w:before="11"/>
        <w:rPr>
          <w:sz w:val="20"/>
        </w:rPr>
      </w:pPr>
    </w:p>
    <w:p w14:paraId="3FE667E7" w14:textId="77777777" w:rsidR="00956C33" w:rsidRPr="003320AB" w:rsidRDefault="00956C33" w:rsidP="003320AB">
      <w:pPr>
        <w:pStyle w:val="a9"/>
        <w:numPr>
          <w:ilvl w:val="0"/>
          <w:numId w:val="1"/>
        </w:numPr>
        <w:ind w:hanging="720"/>
        <w:rPr>
          <w:rFonts w:ascii="Arial" w:hAnsi="Arial" w:cs="Arial"/>
          <w:sz w:val="24"/>
          <w:szCs w:val="24"/>
        </w:rPr>
      </w:pPr>
      <w:r w:rsidRPr="003320AB">
        <w:rPr>
          <w:rFonts w:ascii="Arial" w:hAnsi="Arial" w:cs="Arial"/>
          <w:sz w:val="24"/>
          <w:szCs w:val="24"/>
        </w:rPr>
        <w:t>First, the Applicant states that:</w:t>
      </w:r>
    </w:p>
    <w:p w14:paraId="052CD978" w14:textId="1F9B8D55" w:rsidR="00956C33" w:rsidRPr="003320AB" w:rsidRDefault="00956C33" w:rsidP="00683881">
      <w:pPr>
        <w:spacing w:before="137"/>
        <w:ind w:left="1482" w:right="662"/>
        <w:rPr>
          <w:rFonts w:ascii="Arial" w:hAnsi="Arial" w:cs="Arial"/>
          <w:sz w:val="24"/>
        </w:rPr>
      </w:pPr>
      <w:r w:rsidRPr="003320AB">
        <w:rPr>
          <w:rFonts w:ascii="Arial" w:hAnsi="Arial" w:cs="Arial"/>
          <w:sz w:val="24"/>
        </w:rPr>
        <w:t>“</w:t>
      </w:r>
      <w:r w:rsidR="00683881" w:rsidRPr="00683881">
        <w:rPr>
          <w:rFonts w:ascii="Arial" w:hAnsi="Arial" w:cs="Arial"/>
          <w:i/>
          <w:iCs/>
          <w:sz w:val="24"/>
        </w:rPr>
        <w:t>In FYP14</w:t>
      </w:r>
      <w:r w:rsidR="00683881">
        <w:rPr>
          <w:rFonts w:ascii="Arial" w:hAnsi="Arial" w:cs="Arial" w:hint="eastAsia"/>
          <w:i/>
          <w:iCs/>
          <w:sz w:val="24"/>
        </w:rPr>
        <w:t>[t</w:t>
      </w:r>
      <w:r w:rsidR="00683881" w:rsidRPr="00683881">
        <w:rPr>
          <w:rFonts w:ascii="Arial" w:hAnsi="Arial" w:cs="Arial"/>
          <w:i/>
          <w:iCs/>
          <w:sz w:val="24"/>
        </w:rPr>
        <w:t>he 1</w:t>
      </w:r>
      <w:r w:rsidR="00683881">
        <w:rPr>
          <w:rFonts w:ascii="Arial" w:hAnsi="Arial" w:cs="Arial" w:hint="eastAsia"/>
          <w:i/>
          <w:iCs/>
          <w:sz w:val="24"/>
        </w:rPr>
        <w:t>4</w:t>
      </w:r>
      <w:r w:rsidR="00683881" w:rsidRPr="00683881">
        <w:rPr>
          <w:rFonts w:ascii="Arial" w:hAnsi="Arial" w:cs="Arial"/>
          <w:i/>
          <w:iCs/>
          <w:sz w:val="24"/>
        </w:rPr>
        <w:t>th Five-Year Plan</w:t>
      </w:r>
      <w:r w:rsidR="00683881">
        <w:rPr>
          <w:rFonts w:ascii="Arial" w:hAnsi="Arial" w:cs="Arial" w:hint="eastAsia"/>
          <w:i/>
          <w:iCs/>
          <w:sz w:val="24"/>
        </w:rPr>
        <w:t>]</w:t>
      </w:r>
      <w:r w:rsidR="00683881" w:rsidRPr="00683881">
        <w:rPr>
          <w:rFonts w:ascii="Arial" w:hAnsi="Arial" w:cs="Arial"/>
          <w:i/>
          <w:iCs/>
          <w:sz w:val="24"/>
        </w:rPr>
        <w:t xml:space="preserve">, the CCP set out that its political </w:t>
      </w:r>
      <w:r w:rsidR="00FA5B85" w:rsidRPr="00FA5B85">
        <w:rPr>
          <w:rFonts w:ascii="Arial" w:hAnsi="Arial" w:cs="Arial"/>
          <w:i/>
          <w:sz w:val="24"/>
        </w:rPr>
        <w:t>"focus of economic development"</w:t>
      </w:r>
      <w:r w:rsidR="00FA5B85">
        <w:rPr>
          <w:rFonts w:ascii="Arial" w:hAnsi="Arial" w:cs="Arial" w:hint="eastAsia"/>
          <w:i/>
          <w:sz w:val="24"/>
        </w:rPr>
        <w:t xml:space="preserve"> </w:t>
      </w:r>
      <w:r w:rsidR="00FA5B85" w:rsidRPr="00FA5B85">
        <w:rPr>
          <w:rFonts w:ascii="Arial" w:hAnsi="Arial" w:cs="Arial"/>
          <w:i/>
          <w:sz w:val="24"/>
        </w:rPr>
        <w:t>is among others on "accelerat[ing] the construction of [the PRC as] a</w:t>
      </w:r>
      <w:r w:rsidR="00FA5B85">
        <w:rPr>
          <w:rFonts w:ascii="Arial" w:hAnsi="Arial" w:cs="Arial" w:hint="eastAsia"/>
          <w:i/>
          <w:sz w:val="24"/>
        </w:rPr>
        <w:t xml:space="preserve"> </w:t>
      </w:r>
      <w:r w:rsidR="00FA5B85" w:rsidRPr="00FA5B85">
        <w:rPr>
          <w:rFonts w:ascii="Arial" w:hAnsi="Arial" w:cs="Arial"/>
          <w:i/>
          <w:sz w:val="24"/>
        </w:rPr>
        <w:t>manufacturing powerhouse" and "promot[ing] the deep integration of</w:t>
      </w:r>
      <w:r w:rsidR="00FA5B85">
        <w:rPr>
          <w:rFonts w:ascii="Arial" w:hAnsi="Arial" w:cs="Arial" w:hint="eastAsia"/>
          <w:i/>
          <w:sz w:val="24"/>
        </w:rPr>
        <w:t xml:space="preserve"> </w:t>
      </w:r>
      <w:r w:rsidR="00FA5B85" w:rsidRPr="00FA5B85">
        <w:rPr>
          <w:rFonts w:ascii="Arial" w:hAnsi="Arial" w:cs="Arial"/>
          <w:i/>
          <w:sz w:val="24"/>
        </w:rPr>
        <w:t>advanced manufacturing" in the Chinese economy.</w:t>
      </w:r>
      <w:r w:rsidRPr="003320AB">
        <w:rPr>
          <w:rFonts w:ascii="Arial" w:hAnsi="Arial" w:cs="Arial"/>
          <w:i/>
          <w:sz w:val="24"/>
        </w:rPr>
        <w:t xml:space="preserve">” </w:t>
      </w:r>
      <w:r w:rsidR="00683881" w:rsidRPr="00683881">
        <w:rPr>
          <w:rFonts w:ascii="Arial" w:hAnsi="Arial" w:cs="Arial"/>
          <w:i/>
          <w:sz w:val="24"/>
        </w:rPr>
        <w:t>The policy objectives contained in FYP14 for the manufacturing sector</w:t>
      </w:r>
      <w:r w:rsidR="00683881">
        <w:rPr>
          <w:rFonts w:ascii="Arial" w:hAnsi="Arial" w:cs="Arial" w:hint="eastAsia"/>
          <w:i/>
          <w:sz w:val="24"/>
        </w:rPr>
        <w:t xml:space="preserve"> include </w:t>
      </w:r>
      <w:r w:rsidR="00683881">
        <w:rPr>
          <w:rFonts w:ascii="Arial" w:hAnsi="Arial" w:cs="Arial"/>
          <w:i/>
          <w:sz w:val="24"/>
        </w:rPr>
        <w:t>“</w:t>
      </w:r>
      <w:r w:rsidR="00683881" w:rsidRPr="00683881">
        <w:rPr>
          <w:rFonts w:ascii="Arial" w:hAnsi="Arial" w:cs="Arial"/>
          <w:i/>
          <w:sz w:val="24"/>
        </w:rPr>
        <w:t>cultivate advanced manufacturing clusters and promote the</w:t>
      </w:r>
      <w:r w:rsidR="00683881">
        <w:rPr>
          <w:rFonts w:ascii="Arial" w:hAnsi="Arial" w:cs="Arial" w:hint="eastAsia"/>
          <w:i/>
          <w:sz w:val="24"/>
        </w:rPr>
        <w:t xml:space="preserve"> </w:t>
      </w:r>
      <w:r w:rsidR="00683881" w:rsidRPr="00683881">
        <w:rPr>
          <w:rFonts w:ascii="Arial" w:hAnsi="Arial" w:cs="Arial"/>
          <w:i/>
          <w:sz w:val="24"/>
        </w:rPr>
        <w:t>innovative development of industries such as … engineering</w:t>
      </w:r>
      <w:r w:rsidR="00683881">
        <w:rPr>
          <w:rFonts w:ascii="Arial" w:hAnsi="Arial" w:cs="Arial" w:hint="eastAsia"/>
          <w:i/>
          <w:sz w:val="24"/>
        </w:rPr>
        <w:t xml:space="preserve"> </w:t>
      </w:r>
      <w:r w:rsidR="00683881" w:rsidRPr="00683881">
        <w:rPr>
          <w:rFonts w:ascii="Arial" w:hAnsi="Arial" w:cs="Arial"/>
          <w:i/>
          <w:sz w:val="24"/>
        </w:rPr>
        <w:t>machinery." Excavators are engineering machinery.</w:t>
      </w:r>
      <w:r w:rsidR="00683881">
        <w:rPr>
          <w:rFonts w:ascii="Arial" w:hAnsi="Arial" w:cs="Arial"/>
          <w:i/>
          <w:sz w:val="24"/>
        </w:rPr>
        <w:t>”</w:t>
      </w:r>
      <w:r w:rsidRPr="003320AB">
        <w:rPr>
          <w:rFonts w:ascii="Arial" w:hAnsi="Arial" w:cs="Arial"/>
          <w:sz w:val="24"/>
        </w:rPr>
        <w:t xml:space="preserve"> </w:t>
      </w:r>
      <w:r w:rsidR="00683881">
        <w:rPr>
          <w:rStyle w:val="ab"/>
          <w:rFonts w:ascii="Arial" w:hAnsi="Arial" w:cs="Arial"/>
          <w:sz w:val="24"/>
        </w:rPr>
        <w:footnoteReference w:id="18"/>
      </w:r>
      <w:r w:rsidRPr="003320AB">
        <w:rPr>
          <w:rFonts w:ascii="Arial" w:hAnsi="Arial" w:cs="Arial"/>
          <w:sz w:val="24"/>
        </w:rPr>
        <w:t>.</w:t>
      </w:r>
    </w:p>
    <w:p w14:paraId="249F8E30" w14:textId="77777777" w:rsidR="00956C33" w:rsidRDefault="00956C33" w:rsidP="00956C33">
      <w:pPr>
        <w:pStyle w:val="a7"/>
        <w:spacing w:before="10"/>
        <w:rPr>
          <w:sz w:val="20"/>
        </w:rPr>
      </w:pPr>
    </w:p>
    <w:p w14:paraId="181E86C1" w14:textId="77777777" w:rsidR="00956C33" w:rsidRPr="00683881" w:rsidRDefault="00956C33" w:rsidP="00683881">
      <w:pPr>
        <w:pStyle w:val="a9"/>
        <w:numPr>
          <w:ilvl w:val="0"/>
          <w:numId w:val="1"/>
        </w:numPr>
        <w:ind w:hanging="720"/>
        <w:rPr>
          <w:rFonts w:ascii="Arial" w:hAnsi="Arial" w:cs="Arial"/>
          <w:sz w:val="24"/>
          <w:szCs w:val="24"/>
        </w:rPr>
      </w:pPr>
      <w:r w:rsidRPr="00683881">
        <w:rPr>
          <w:rFonts w:ascii="Arial" w:hAnsi="Arial" w:cs="Arial"/>
          <w:sz w:val="24"/>
          <w:szCs w:val="24"/>
        </w:rPr>
        <w:t>It is underlined that Five-Year plans are neither mandatory nor legally binding; they are merely guidance documents. As the TRA would be well aware, several Asian countries, such as India, have had five-year plans since their independence.</w:t>
      </w:r>
    </w:p>
    <w:p w14:paraId="6624603F" w14:textId="77777777" w:rsidR="00956C33" w:rsidRPr="00683881" w:rsidRDefault="00956C33" w:rsidP="00683881">
      <w:pPr>
        <w:pStyle w:val="a9"/>
        <w:rPr>
          <w:rFonts w:ascii="Arial" w:hAnsi="Arial" w:cs="Arial"/>
          <w:sz w:val="24"/>
          <w:szCs w:val="24"/>
        </w:rPr>
      </w:pPr>
    </w:p>
    <w:p w14:paraId="1C8D2B54" w14:textId="77777777" w:rsidR="00956C33" w:rsidRPr="00683881" w:rsidRDefault="00956C33" w:rsidP="00683881">
      <w:pPr>
        <w:pStyle w:val="a9"/>
        <w:numPr>
          <w:ilvl w:val="0"/>
          <w:numId w:val="1"/>
        </w:numPr>
        <w:ind w:hanging="720"/>
        <w:rPr>
          <w:rFonts w:ascii="Arial" w:hAnsi="Arial" w:cs="Arial"/>
          <w:sz w:val="24"/>
          <w:szCs w:val="24"/>
        </w:rPr>
      </w:pPr>
      <w:r w:rsidRPr="00683881">
        <w:rPr>
          <w:rFonts w:ascii="Arial" w:hAnsi="Arial" w:cs="Arial"/>
          <w:sz w:val="24"/>
          <w:szCs w:val="24"/>
        </w:rPr>
        <w:t>In any event, the Legislation Law of China provides that only the Constitution, laws, administrative regulations, and local regulations and rules constitute general legislation in China. The difference between these types of binding measures and non-mandatory plans is also clear from the fact that the plans do not contain actual legal provisions, sanctions, or rules on applicability. Therefore, to the extent that the Applicant has relied on these plans in its analysis of the alleged subsidization, its claims are based on a misperception of the policy and therefore not accurate and adequate evidence.</w:t>
      </w:r>
    </w:p>
    <w:p w14:paraId="6EC3F234" w14:textId="77777777" w:rsidR="00956C33" w:rsidRDefault="00956C33" w:rsidP="00956C33">
      <w:pPr>
        <w:pStyle w:val="a7"/>
        <w:spacing w:before="10"/>
        <w:rPr>
          <w:rFonts w:eastAsiaTheme="minorEastAsia"/>
          <w:sz w:val="20"/>
          <w:lang w:eastAsia="zh-CN"/>
        </w:rPr>
      </w:pPr>
    </w:p>
    <w:p w14:paraId="57533D8C" w14:textId="34C127E2" w:rsidR="00683881" w:rsidRDefault="00683881" w:rsidP="00683881">
      <w:pPr>
        <w:pStyle w:val="a9"/>
        <w:numPr>
          <w:ilvl w:val="0"/>
          <w:numId w:val="1"/>
        </w:numPr>
        <w:ind w:hanging="720"/>
        <w:rPr>
          <w:rFonts w:ascii="Arial" w:hAnsi="Arial" w:cs="Arial"/>
          <w:sz w:val="24"/>
          <w:szCs w:val="24"/>
        </w:rPr>
      </w:pPr>
      <w:r w:rsidRPr="00683881">
        <w:rPr>
          <w:rFonts w:ascii="Arial" w:hAnsi="Arial" w:cs="Arial"/>
          <w:sz w:val="24"/>
          <w:szCs w:val="24"/>
        </w:rPr>
        <w:t xml:space="preserve">The Applicant’s reliance on the 14th Five-Year Plan is also misplaced. Moreover, and in any event, this plan does not mention </w:t>
      </w:r>
      <w:r>
        <w:rPr>
          <w:rFonts w:ascii="Arial" w:hAnsi="Arial" w:cs="Arial" w:hint="eastAsia"/>
          <w:sz w:val="24"/>
          <w:szCs w:val="24"/>
        </w:rPr>
        <w:t>Excavator</w:t>
      </w:r>
      <w:r w:rsidRPr="00683881">
        <w:rPr>
          <w:rFonts w:ascii="Arial" w:hAnsi="Arial" w:cs="Arial"/>
          <w:sz w:val="24"/>
          <w:szCs w:val="24"/>
        </w:rPr>
        <w:t xml:space="preserve">. The Applicant bases itself on the incorrect assumption that if the </w:t>
      </w:r>
      <w:r>
        <w:rPr>
          <w:rFonts w:ascii="Arial" w:hAnsi="Arial" w:cs="Arial" w:hint="eastAsia"/>
          <w:sz w:val="24"/>
          <w:szCs w:val="24"/>
        </w:rPr>
        <w:t>manufacturing</w:t>
      </w:r>
      <w:r w:rsidRPr="00683881">
        <w:rPr>
          <w:rFonts w:ascii="Arial" w:hAnsi="Arial" w:cs="Arial"/>
          <w:sz w:val="24"/>
          <w:szCs w:val="24"/>
        </w:rPr>
        <w:t xml:space="preserve"> sector </w:t>
      </w:r>
      <w:r>
        <w:rPr>
          <w:rFonts w:ascii="Arial" w:hAnsi="Arial" w:cs="Arial" w:hint="eastAsia"/>
          <w:sz w:val="24"/>
          <w:szCs w:val="24"/>
        </w:rPr>
        <w:t>is</w:t>
      </w:r>
      <w:r w:rsidRPr="00683881">
        <w:rPr>
          <w:rFonts w:ascii="Arial" w:hAnsi="Arial" w:cs="Arial"/>
          <w:sz w:val="24"/>
          <w:szCs w:val="24"/>
        </w:rPr>
        <w:t xml:space="preserve"> supposedly encouraged, everything that makes up that sector is encouraged. Such an approach cannot be considered legal and is not based on any evidence whatsoever.</w:t>
      </w:r>
    </w:p>
    <w:p w14:paraId="4C34450F" w14:textId="77777777" w:rsidR="00683881" w:rsidRPr="00683881" w:rsidRDefault="00683881" w:rsidP="00683881">
      <w:pPr>
        <w:pStyle w:val="a9"/>
        <w:rPr>
          <w:rFonts w:ascii="Arial" w:hAnsi="Arial" w:cs="Arial"/>
          <w:sz w:val="24"/>
          <w:szCs w:val="24"/>
        </w:rPr>
      </w:pPr>
    </w:p>
    <w:p w14:paraId="07225C1C" w14:textId="0292BC6C" w:rsidR="00683881" w:rsidRDefault="00176988" w:rsidP="00683881">
      <w:pPr>
        <w:pStyle w:val="a9"/>
        <w:numPr>
          <w:ilvl w:val="0"/>
          <w:numId w:val="1"/>
        </w:numPr>
        <w:ind w:hanging="720"/>
        <w:rPr>
          <w:rFonts w:ascii="Arial" w:hAnsi="Arial" w:cs="Arial"/>
          <w:sz w:val="24"/>
          <w:szCs w:val="24"/>
        </w:rPr>
      </w:pPr>
      <w:r>
        <w:rPr>
          <w:rFonts w:ascii="Arial" w:hAnsi="Arial" w:cs="Arial" w:hint="eastAsia"/>
          <w:sz w:val="24"/>
          <w:szCs w:val="24"/>
        </w:rPr>
        <w:t>W</w:t>
      </w:r>
      <w:r w:rsidRPr="00176988">
        <w:rPr>
          <w:rFonts w:ascii="Arial" w:hAnsi="Arial" w:cs="Arial"/>
          <w:sz w:val="24"/>
          <w:szCs w:val="24"/>
        </w:rPr>
        <w:t>ithout prejudice to the above, if all the documents relied upon by the Applicant are considered holistically (e.g., the Made in China 2025 plan, the 14th Five-Year Plan), all industries and enterprises as well as sectors of the Chinese economy are covered and thus, in the Applicant’s words, “encouraged”. Therefore, following the Applicant’s logic, there can be no specificity.</w:t>
      </w:r>
    </w:p>
    <w:p w14:paraId="779E8986" w14:textId="77777777" w:rsidR="00176988" w:rsidRPr="00176988" w:rsidRDefault="00176988" w:rsidP="00176988">
      <w:pPr>
        <w:pStyle w:val="a9"/>
        <w:rPr>
          <w:rFonts w:ascii="Arial" w:hAnsi="Arial" w:cs="Arial"/>
          <w:sz w:val="24"/>
          <w:szCs w:val="24"/>
        </w:rPr>
      </w:pPr>
    </w:p>
    <w:p w14:paraId="669B15F4" w14:textId="4A945178" w:rsidR="00C51ACE" w:rsidRDefault="000D1828" w:rsidP="00673F74">
      <w:pPr>
        <w:pStyle w:val="2"/>
        <w:ind w:left="720" w:hanging="720"/>
      </w:pPr>
      <w:bookmarkStart w:id="6" w:name="_Toc161355118"/>
      <w:r w:rsidRPr="000D1828">
        <w:t>Alleged government revenue forgone or not collected</w:t>
      </w:r>
      <w:bookmarkEnd w:id="6"/>
    </w:p>
    <w:p w14:paraId="520C5AD3" w14:textId="77777777" w:rsidR="000D1828" w:rsidRDefault="000D1828" w:rsidP="000D1828"/>
    <w:p w14:paraId="75C45AC7" w14:textId="766B67F3" w:rsidR="0045188A" w:rsidRDefault="0045188A" w:rsidP="0045188A">
      <w:pPr>
        <w:pStyle w:val="a9"/>
        <w:numPr>
          <w:ilvl w:val="0"/>
          <w:numId w:val="1"/>
        </w:numPr>
        <w:ind w:hanging="720"/>
        <w:rPr>
          <w:rFonts w:ascii="Arial" w:hAnsi="Arial" w:cs="Arial"/>
          <w:sz w:val="24"/>
          <w:szCs w:val="24"/>
        </w:rPr>
      </w:pPr>
      <w:r w:rsidRPr="0045188A">
        <w:rPr>
          <w:rFonts w:ascii="Arial" w:hAnsi="Arial" w:cs="Arial"/>
          <w:sz w:val="24"/>
          <w:szCs w:val="24"/>
        </w:rPr>
        <w:lastRenderedPageBreak/>
        <w:t xml:space="preserve">The GOC strongly objects to the investigation into the alleged tax schemes </w:t>
      </w:r>
      <w:r w:rsidR="00BF1F8E">
        <w:rPr>
          <w:rFonts w:ascii="Arial" w:hAnsi="Arial" w:cs="Arial" w:hint="eastAsia"/>
          <w:sz w:val="24"/>
          <w:szCs w:val="24"/>
        </w:rPr>
        <w:t>as</w:t>
      </w:r>
      <w:r w:rsidRPr="0045188A">
        <w:rPr>
          <w:rFonts w:ascii="Arial" w:hAnsi="Arial" w:cs="Arial"/>
          <w:sz w:val="24"/>
          <w:szCs w:val="24"/>
        </w:rPr>
        <w:t xml:space="preserve"> the below-mentioned alleged subsidies</w:t>
      </w:r>
      <w:r w:rsidR="00BF1F8E">
        <w:rPr>
          <w:rFonts w:ascii="Arial" w:hAnsi="Arial" w:cs="Arial" w:hint="eastAsia"/>
          <w:sz w:val="24"/>
          <w:szCs w:val="24"/>
        </w:rPr>
        <w:t xml:space="preserve"> are not</w:t>
      </w:r>
      <w:r w:rsidRPr="0045188A">
        <w:rPr>
          <w:rFonts w:ascii="Arial" w:hAnsi="Arial" w:cs="Arial"/>
          <w:sz w:val="24"/>
          <w:szCs w:val="24"/>
        </w:rPr>
        <w:t xml:space="preserve"> satisfied the specificity threshold.</w:t>
      </w:r>
      <w:r w:rsidR="00346A8B" w:rsidRPr="00346A8B">
        <w:rPr>
          <w:rFonts w:ascii="Arial" w:eastAsia="黑体" w:hAnsi="Arial" w:cs="Arial"/>
          <w:sz w:val="24"/>
          <w:szCs w:val="24"/>
        </w:rPr>
        <w:t xml:space="preserve"> </w:t>
      </w:r>
      <w:r w:rsidR="00346A8B" w:rsidRPr="00131C50">
        <w:rPr>
          <w:rFonts w:ascii="Arial" w:eastAsia="黑体" w:hAnsi="Arial" w:cs="Arial"/>
          <w:sz w:val="24"/>
          <w:szCs w:val="24"/>
        </w:rPr>
        <w:t xml:space="preserve">While the GOC has provided specific comments on several of the alleged programs listed in </w:t>
      </w:r>
      <w:r w:rsidR="00346A8B">
        <w:rPr>
          <w:rFonts w:ascii="Arial" w:eastAsia="黑体" w:hAnsi="Arial" w:cs="Arial" w:hint="eastAsia"/>
          <w:sz w:val="24"/>
          <w:szCs w:val="24"/>
        </w:rPr>
        <w:t>Table C-1</w:t>
      </w:r>
      <w:r w:rsidR="00346A8B" w:rsidRPr="00131C50">
        <w:rPr>
          <w:rFonts w:ascii="Arial" w:eastAsia="黑体" w:hAnsi="Arial" w:cs="Arial"/>
          <w:sz w:val="24"/>
          <w:szCs w:val="24"/>
        </w:rPr>
        <w:t xml:space="preserve"> </w:t>
      </w:r>
      <w:r w:rsidR="00346A8B" w:rsidRPr="00131C50">
        <w:rPr>
          <w:rFonts w:ascii="Arial" w:eastAsiaTheme="minorHAnsi" w:hAnsi="Arial" w:cs="Arial"/>
          <w:sz w:val="24"/>
          <w:szCs w:val="24"/>
          <w:lang w:bidi="hi-IN"/>
          <w14:ligatures w14:val="standardContextual"/>
        </w:rPr>
        <w:t xml:space="preserve">of the AS </w:t>
      </w:r>
      <w:r w:rsidR="00346A8B" w:rsidRPr="00131C50">
        <w:rPr>
          <w:rFonts w:ascii="Arial" w:eastAsia="黑体" w:hAnsi="Arial" w:cs="Arial"/>
          <w:sz w:val="24"/>
          <w:szCs w:val="24"/>
        </w:rPr>
        <w:t>questionnaire, for the remainder of the programs, the absence of specific comments does not imply that the GOC agrees with the investigation into these programs. For these alleged programs, to the extent that they have been used by the sampled exporting producers, the GOC refers to the narrative provided in its AS questionnaire response.</w:t>
      </w:r>
    </w:p>
    <w:p w14:paraId="749AB0E2" w14:textId="77777777" w:rsidR="0045188A" w:rsidRPr="0045188A" w:rsidRDefault="0045188A" w:rsidP="0045188A">
      <w:pPr>
        <w:pStyle w:val="a9"/>
        <w:rPr>
          <w:rFonts w:ascii="Arial" w:hAnsi="Arial" w:cs="Arial"/>
          <w:sz w:val="24"/>
          <w:szCs w:val="24"/>
        </w:rPr>
      </w:pPr>
    </w:p>
    <w:p w14:paraId="643B5E2D" w14:textId="4E7FC9E6" w:rsidR="0045188A" w:rsidRDefault="0045188A" w:rsidP="0045188A">
      <w:pPr>
        <w:pStyle w:val="3"/>
        <w:rPr>
          <w:rFonts w:ascii="Arial" w:eastAsiaTheme="minorEastAsia" w:hAnsi="Arial" w:cs="Arial"/>
          <w:b/>
          <w:bCs/>
          <w:color w:val="auto"/>
        </w:rPr>
      </w:pPr>
      <w:bookmarkStart w:id="7" w:name="_Toc161355119"/>
      <w:r w:rsidRPr="0045188A">
        <w:rPr>
          <w:rFonts w:ascii="Arial" w:eastAsia="Times New Roman" w:hAnsi="Arial" w:cs="Arial"/>
          <w:b/>
          <w:bCs/>
          <w:color w:val="auto"/>
          <w:lang w:eastAsia="en-US"/>
        </w:rPr>
        <w:t>Enterprise Income Tax privileges and benefits for High and New Technology Enterprises</w:t>
      </w:r>
      <w:bookmarkEnd w:id="7"/>
    </w:p>
    <w:p w14:paraId="0608DC31" w14:textId="77777777" w:rsidR="0045188A" w:rsidRPr="0045188A" w:rsidRDefault="0045188A" w:rsidP="0045188A">
      <w:pPr>
        <w:pStyle w:val="a9"/>
        <w:rPr>
          <w:rFonts w:ascii="Arial" w:hAnsi="Arial" w:cs="Arial"/>
        </w:rPr>
      </w:pPr>
    </w:p>
    <w:p w14:paraId="73ACFF9C" w14:textId="2DFD3A43" w:rsidR="0045188A" w:rsidRPr="0045188A" w:rsidRDefault="0045188A" w:rsidP="0045188A">
      <w:pPr>
        <w:pStyle w:val="a9"/>
        <w:numPr>
          <w:ilvl w:val="0"/>
          <w:numId w:val="1"/>
        </w:numPr>
        <w:ind w:hanging="720"/>
        <w:rPr>
          <w:rFonts w:ascii="Arial" w:hAnsi="Arial" w:cs="Arial"/>
        </w:rPr>
      </w:pPr>
      <w:r w:rsidRPr="0045188A">
        <w:rPr>
          <w:rFonts w:ascii="Arial" w:hAnsi="Arial" w:cs="Arial"/>
          <w:sz w:val="24"/>
          <w:szCs w:val="24"/>
        </w:rPr>
        <w:t>According to the Applicant, the Enterprise Income Tax (“EIT”) privileges and benefits for High and Ne</w:t>
      </w:r>
      <w:r w:rsidRPr="0045188A">
        <w:rPr>
          <w:rFonts w:ascii="Arial" w:hAnsi="Arial" w:cs="Arial"/>
          <w:sz w:val="24"/>
        </w:rPr>
        <w:t>w Technology Enterprises constitute countervailable subsidies.</w:t>
      </w:r>
      <w:r>
        <w:rPr>
          <w:rStyle w:val="ab"/>
          <w:rFonts w:ascii="Arial" w:hAnsi="Arial" w:cs="Arial"/>
          <w:sz w:val="24"/>
        </w:rPr>
        <w:footnoteReference w:id="19"/>
      </w:r>
      <w:r w:rsidRPr="0045188A">
        <w:rPr>
          <w:rFonts w:ascii="Arial" w:hAnsi="Arial" w:cs="Arial"/>
          <w:sz w:val="24"/>
        </w:rPr>
        <w:t xml:space="preserve"> The GOC disagrees and maintains that this alleged subsidy scheme is not specific, as the legislation pursuant to which the granting authority operates establishes objective criteria or conditions governing the eligibility</w:t>
      </w:r>
      <w:r w:rsidRPr="0045188A">
        <w:rPr>
          <w:rFonts w:ascii="Arial" w:hAnsi="Arial" w:cs="Arial"/>
          <w:spacing w:val="-13"/>
          <w:sz w:val="24"/>
        </w:rPr>
        <w:t xml:space="preserve"> </w:t>
      </w:r>
      <w:r w:rsidRPr="0045188A">
        <w:rPr>
          <w:rFonts w:ascii="Arial" w:hAnsi="Arial" w:cs="Arial"/>
          <w:spacing w:val="-3"/>
          <w:sz w:val="24"/>
        </w:rPr>
        <w:t>for,</w:t>
      </w:r>
      <w:r w:rsidRPr="0045188A">
        <w:rPr>
          <w:rFonts w:ascii="Arial" w:hAnsi="Arial" w:cs="Arial"/>
          <w:spacing w:val="-12"/>
          <w:sz w:val="24"/>
        </w:rPr>
        <w:t xml:space="preserve"> </w:t>
      </w:r>
      <w:r w:rsidRPr="0045188A">
        <w:rPr>
          <w:rFonts w:ascii="Arial" w:hAnsi="Arial" w:cs="Arial"/>
          <w:sz w:val="24"/>
        </w:rPr>
        <w:t>and</w:t>
      </w:r>
      <w:r w:rsidRPr="0045188A">
        <w:rPr>
          <w:rFonts w:ascii="Arial" w:hAnsi="Arial" w:cs="Arial"/>
          <w:spacing w:val="-12"/>
          <w:sz w:val="24"/>
        </w:rPr>
        <w:t xml:space="preserve"> </w:t>
      </w:r>
      <w:r w:rsidRPr="0045188A">
        <w:rPr>
          <w:rFonts w:ascii="Arial" w:hAnsi="Arial" w:cs="Arial"/>
          <w:sz w:val="24"/>
        </w:rPr>
        <w:t>the</w:t>
      </w:r>
      <w:r w:rsidRPr="0045188A">
        <w:rPr>
          <w:rFonts w:ascii="Arial" w:hAnsi="Arial" w:cs="Arial"/>
          <w:spacing w:val="-11"/>
          <w:sz w:val="24"/>
        </w:rPr>
        <w:t xml:space="preserve"> </w:t>
      </w:r>
      <w:r w:rsidRPr="0045188A">
        <w:rPr>
          <w:rFonts w:ascii="Arial" w:hAnsi="Arial" w:cs="Arial"/>
          <w:sz w:val="24"/>
        </w:rPr>
        <w:t>amount</w:t>
      </w:r>
      <w:r w:rsidRPr="0045188A">
        <w:rPr>
          <w:rFonts w:ascii="Arial" w:hAnsi="Arial" w:cs="Arial"/>
          <w:spacing w:val="-13"/>
          <w:sz w:val="24"/>
        </w:rPr>
        <w:t xml:space="preserve"> </w:t>
      </w:r>
      <w:r w:rsidRPr="0045188A">
        <w:rPr>
          <w:rFonts w:ascii="Arial" w:hAnsi="Arial" w:cs="Arial"/>
          <w:sz w:val="24"/>
        </w:rPr>
        <w:t>of,</w:t>
      </w:r>
      <w:r w:rsidRPr="0045188A">
        <w:rPr>
          <w:rFonts w:ascii="Arial" w:hAnsi="Arial" w:cs="Arial"/>
          <w:spacing w:val="-13"/>
          <w:sz w:val="24"/>
        </w:rPr>
        <w:t xml:space="preserve"> </w:t>
      </w:r>
      <w:r w:rsidRPr="0045188A">
        <w:rPr>
          <w:rFonts w:ascii="Arial" w:hAnsi="Arial" w:cs="Arial"/>
          <w:sz w:val="24"/>
        </w:rPr>
        <w:t>the</w:t>
      </w:r>
      <w:r w:rsidRPr="0045188A">
        <w:rPr>
          <w:rFonts w:ascii="Arial" w:hAnsi="Arial" w:cs="Arial"/>
          <w:spacing w:val="-13"/>
          <w:sz w:val="24"/>
        </w:rPr>
        <w:t xml:space="preserve"> </w:t>
      </w:r>
      <w:r w:rsidRPr="0045188A">
        <w:rPr>
          <w:rFonts w:ascii="Arial" w:hAnsi="Arial" w:cs="Arial"/>
          <w:sz w:val="24"/>
        </w:rPr>
        <w:t>tax</w:t>
      </w:r>
      <w:r w:rsidRPr="0045188A">
        <w:rPr>
          <w:rFonts w:ascii="Arial" w:hAnsi="Arial" w:cs="Arial"/>
          <w:spacing w:val="-12"/>
          <w:sz w:val="24"/>
        </w:rPr>
        <w:t xml:space="preserve"> </w:t>
      </w:r>
      <w:r w:rsidRPr="0045188A">
        <w:rPr>
          <w:rFonts w:ascii="Arial" w:hAnsi="Arial" w:cs="Arial"/>
          <w:sz w:val="24"/>
        </w:rPr>
        <w:t>reduction,</w:t>
      </w:r>
      <w:r w:rsidRPr="0045188A">
        <w:rPr>
          <w:rFonts w:ascii="Arial" w:hAnsi="Arial" w:cs="Arial"/>
          <w:spacing w:val="-10"/>
          <w:sz w:val="24"/>
        </w:rPr>
        <w:t xml:space="preserve"> </w:t>
      </w:r>
      <w:r w:rsidRPr="0045188A">
        <w:rPr>
          <w:rFonts w:ascii="Arial" w:hAnsi="Arial" w:cs="Arial"/>
          <w:sz w:val="24"/>
        </w:rPr>
        <w:t>eligibility</w:t>
      </w:r>
      <w:r w:rsidRPr="0045188A">
        <w:rPr>
          <w:rFonts w:ascii="Arial" w:hAnsi="Arial" w:cs="Arial"/>
          <w:spacing w:val="-13"/>
          <w:sz w:val="24"/>
        </w:rPr>
        <w:t xml:space="preserve"> </w:t>
      </w:r>
      <w:r w:rsidRPr="0045188A">
        <w:rPr>
          <w:rFonts w:ascii="Arial" w:hAnsi="Arial" w:cs="Arial"/>
          <w:sz w:val="24"/>
        </w:rPr>
        <w:t>is</w:t>
      </w:r>
      <w:r w:rsidRPr="0045188A">
        <w:rPr>
          <w:rFonts w:ascii="Arial" w:hAnsi="Arial" w:cs="Arial"/>
          <w:spacing w:val="-12"/>
          <w:sz w:val="24"/>
        </w:rPr>
        <w:t xml:space="preserve"> </w:t>
      </w:r>
      <w:r w:rsidRPr="0045188A">
        <w:rPr>
          <w:rFonts w:ascii="Arial" w:hAnsi="Arial" w:cs="Arial"/>
          <w:sz w:val="24"/>
        </w:rPr>
        <w:t>automatic,</w:t>
      </w:r>
      <w:r w:rsidRPr="0045188A">
        <w:rPr>
          <w:rFonts w:ascii="Arial" w:hAnsi="Arial" w:cs="Arial"/>
          <w:spacing w:val="-12"/>
          <w:sz w:val="24"/>
        </w:rPr>
        <w:t xml:space="preserve"> </w:t>
      </w:r>
      <w:r w:rsidRPr="0045188A">
        <w:rPr>
          <w:rFonts w:ascii="Arial" w:hAnsi="Arial" w:cs="Arial"/>
          <w:sz w:val="24"/>
        </w:rPr>
        <w:t>and</w:t>
      </w:r>
      <w:r w:rsidRPr="0045188A">
        <w:rPr>
          <w:rFonts w:ascii="Arial" w:hAnsi="Arial" w:cs="Arial"/>
          <w:spacing w:val="-12"/>
          <w:sz w:val="24"/>
        </w:rPr>
        <w:t xml:space="preserve"> </w:t>
      </w:r>
      <w:r w:rsidRPr="0045188A">
        <w:rPr>
          <w:rFonts w:ascii="Arial" w:hAnsi="Arial" w:cs="Arial"/>
          <w:sz w:val="24"/>
        </w:rPr>
        <w:t>the</w:t>
      </w:r>
      <w:r w:rsidRPr="0045188A">
        <w:rPr>
          <w:rFonts w:ascii="Arial" w:hAnsi="Arial" w:cs="Arial"/>
          <w:spacing w:val="-13"/>
          <w:sz w:val="24"/>
        </w:rPr>
        <w:t xml:space="preserve"> </w:t>
      </w:r>
      <w:r w:rsidRPr="0045188A">
        <w:rPr>
          <w:rFonts w:ascii="Arial" w:hAnsi="Arial" w:cs="Arial"/>
          <w:sz w:val="24"/>
        </w:rPr>
        <w:t>qualification criteria and conditions are strictly adhered</w:t>
      </w:r>
      <w:r w:rsidRPr="0045188A">
        <w:rPr>
          <w:rFonts w:ascii="Arial" w:hAnsi="Arial" w:cs="Arial"/>
          <w:spacing w:val="-2"/>
          <w:sz w:val="24"/>
        </w:rPr>
        <w:t xml:space="preserve"> </w:t>
      </w:r>
      <w:r w:rsidRPr="0045188A">
        <w:rPr>
          <w:rFonts w:ascii="Arial" w:hAnsi="Arial" w:cs="Arial"/>
          <w:sz w:val="24"/>
        </w:rPr>
        <w:t>to.</w:t>
      </w:r>
    </w:p>
    <w:p w14:paraId="219DCB6C" w14:textId="77777777" w:rsidR="0045188A" w:rsidRPr="0045188A" w:rsidRDefault="0045188A" w:rsidP="0045188A">
      <w:pPr>
        <w:pStyle w:val="a9"/>
        <w:rPr>
          <w:rFonts w:ascii="Arial" w:hAnsi="Arial" w:cs="Arial"/>
        </w:rPr>
      </w:pPr>
    </w:p>
    <w:p w14:paraId="298006D2" w14:textId="34601337" w:rsidR="0045188A" w:rsidRDefault="0045188A" w:rsidP="0045188A">
      <w:pPr>
        <w:pStyle w:val="a9"/>
        <w:numPr>
          <w:ilvl w:val="0"/>
          <w:numId w:val="1"/>
        </w:numPr>
        <w:ind w:hanging="720"/>
        <w:rPr>
          <w:rFonts w:ascii="Arial" w:hAnsi="Arial" w:cs="Arial"/>
          <w:sz w:val="24"/>
        </w:rPr>
      </w:pPr>
      <w:r w:rsidRPr="0064426C">
        <w:rPr>
          <w:rFonts w:ascii="Arial" w:hAnsi="Arial" w:cs="Arial"/>
          <w:sz w:val="24"/>
        </w:rPr>
        <w:t xml:space="preserve">As already stated in section 3.1 above, Article 2.1(b) of the SCM Agreement provides that specificity shall not exist if the granting authority establishes objective criteria or conditions governing the eligibility for and the amount of the </w:t>
      </w:r>
      <w:r w:rsidRPr="0064426C">
        <w:rPr>
          <w:rFonts w:ascii="Arial" w:hAnsi="Arial" w:cs="Arial"/>
          <w:spacing w:val="-3"/>
          <w:sz w:val="24"/>
        </w:rPr>
        <w:t xml:space="preserve">subsidy, </w:t>
      </w:r>
      <w:r w:rsidRPr="0064426C">
        <w:rPr>
          <w:rFonts w:ascii="Arial" w:hAnsi="Arial" w:cs="Arial"/>
          <w:sz w:val="24"/>
        </w:rPr>
        <w:t>provided that (i) eligibility is automatic, (ii) such criteria or conditions are strictly adhered to and (iii) such criteria or conditions</w:t>
      </w:r>
      <w:r w:rsidRPr="0064426C">
        <w:rPr>
          <w:rFonts w:ascii="Arial" w:hAnsi="Arial" w:cs="Arial"/>
          <w:spacing w:val="25"/>
          <w:sz w:val="24"/>
        </w:rPr>
        <w:t xml:space="preserve"> </w:t>
      </w:r>
      <w:r w:rsidRPr="0064426C">
        <w:rPr>
          <w:rFonts w:ascii="Arial" w:hAnsi="Arial" w:cs="Arial"/>
          <w:sz w:val="24"/>
        </w:rPr>
        <w:t>are</w:t>
      </w:r>
      <w:r w:rsidRPr="0064426C">
        <w:rPr>
          <w:rFonts w:ascii="Arial" w:hAnsi="Arial" w:cs="Arial"/>
          <w:spacing w:val="25"/>
          <w:sz w:val="24"/>
        </w:rPr>
        <w:t xml:space="preserve"> </w:t>
      </w:r>
      <w:r w:rsidRPr="0064426C">
        <w:rPr>
          <w:rFonts w:ascii="Arial" w:hAnsi="Arial" w:cs="Arial"/>
          <w:sz w:val="24"/>
        </w:rPr>
        <w:t>clearly</w:t>
      </w:r>
      <w:r w:rsidRPr="0064426C">
        <w:rPr>
          <w:rFonts w:ascii="Arial" w:hAnsi="Arial" w:cs="Arial"/>
          <w:spacing w:val="24"/>
          <w:sz w:val="24"/>
        </w:rPr>
        <w:t xml:space="preserve"> </w:t>
      </w:r>
      <w:r w:rsidRPr="0064426C">
        <w:rPr>
          <w:rFonts w:ascii="Arial" w:hAnsi="Arial" w:cs="Arial"/>
          <w:sz w:val="24"/>
        </w:rPr>
        <w:t>spelt</w:t>
      </w:r>
      <w:r w:rsidRPr="0064426C">
        <w:rPr>
          <w:rFonts w:ascii="Arial" w:hAnsi="Arial" w:cs="Arial"/>
          <w:spacing w:val="25"/>
          <w:sz w:val="24"/>
        </w:rPr>
        <w:t xml:space="preserve"> </w:t>
      </w:r>
      <w:r w:rsidRPr="0064426C">
        <w:rPr>
          <w:rFonts w:ascii="Arial" w:hAnsi="Arial" w:cs="Arial"/>
          <w:sz w:val="24"/>
        </w:rPr>
        <w:t>out</w:t>
      </w:r>
      <w:r w:rsidRPr="0064426C">
        <w:rPr>
          <w:rFonts w:ascii="Arial" w:hAnsi="Arial" w:cs="Arial"/>
          <w:spacing w:val="25"/>
          <w:sz w:val="24"/>
        </w:rPr>
        <w:t xml:space="preserve"> </w:t>
      </w:r>
      <w:r w:rsidRPr="0064426C">
        <w:rPr>
          <w:rFonts w:ascii="Arial" w:hAnsi="Arial" w:cs="Arial"/>
          <w:sz w:val="24"/>
        </w:rPr>
        <w:t>in</w:t>
      </w:r>
      <w:r w:rsidRPr="0064426C">
        <w:rPr>
          <w:rFonts w:ascii="Arial" w:hAnsi="Arial" w:cs="Arial"/>
          <w:spacing w:val="25"/>
          <w:sz w:val="24"/>
        </w:rPr>
        <w:t xml:space="preserve"> </w:t>
      </w:r>
      <w:r w:rsidRPr="0064426C">
        <w:rPr>
          <w:rFonts w:ascii="Arial" w:hAnsi="Arial" w:cs="Arial"/>
          <w:sz w:val="24"/>
        </w:rPr>
        <w:t>laws,</w:t>
      </w:r>
      <w:r w:rsidRPr="0064426C">
        <w:rPr>
          <w:rFonts w:ascii="Arial" w:hAnsi="Arial" w:cs="Arial"/>
          <w:spacing w:val="26"/>
          <w:sz w:val="24"/>
        </w:rPr>
        <w:t xml:space="preserve"> </w:t>
      </w:r>
      <w:r w:rsidRPr="0064426C">
        <w:rPr>
          <w:rFonts w:ascii="Arial" w:hAnsi="Arial" w:cs="Arial"/>
          <w:sz w:val="24"/>
        </w:rPr>
        <w:t>regulations</w:t>
      </w:r>
      <w:r w:rsidRPr="0064426C">
        <w:rPr>
          <w:rFonts w:ascii="Arial" w:hAnsi="Arial" w:cs="Arial"/>
          <w:spacing w:val="25"/>
          <w:sz w:val="24"/>
        </w:rPr>
        <w:t xml:space="preserve"> </w:t>
      </w:r>
      <w:r w:rsidRPr="0064426C">
        <w:rPr>
          <w:rFonts w:ascii="Arial" w:hAnsi="Arial" w:cs="Arial"/>
          <w:sz w:val="24"/>
        </w:rPr>
        <w:t>or</w:t>
      </w:r>
      <w:r w:rsidRPr="0064426C">
        <w:rPr>
          <w:rFonts w:ascii="Arial" w:hAnsi="Arial" w:cs="Arial"/>
          <w:spacing w:val="24"/>
          <w:sz w:val="24"/>
        </w:rPr>
        <w:t xml:space="preserve"> </w:t>
      </w:r>
      <w:r w:rsidRPr="0064426C">
        <w:rPr>
          <w:rFonts w:ascii="Arial" w:hAnsi="Arial" w:cs="Arial"/>
          <w:sz w:val="24"/>
        </w:rPr>
        <w:t>other</w:t>
      </w:r>
      <w:r w:rsidRPr="0064426C">
        <w:rPr>
          <w:rFonts w:ascii="Arial" w:hAnsi="Arial" w:cs="Arial"/>
          <w:spacing w:val="26"/>
          <w:sz w:val="24"/>
        </w:rPr>
        <w:t xml:space="preserve"> </w:t>
      </w:r>
      <w:r w:rsidRPr="0064426C">
        <w:rPr>
          <w:rFonts w:ascii="Arial" w:hAnsi="Arial" w:cs="Arial"/>
          <w:sz w:val="24"/>
        </w:rPr>
        <w:t>official</w:t>
      </w:r>
      <w:r w:rsidRPr="0064426C">
        <w:rPr>
          <w:rFonts w:ascii="Arial" w:hAnsi="Arial" w:cs="Arial"/>
          <w:spacing w:val="25"/>
          <w:sz w:val="24"/>
        </w:rPr>
        <w:t xml:space="preserve"> </w:t>
      </w:r>
      <w:r w:rsidRPr="0064426C">
        <w:rPr>
          <w:rFonts w:ascii="Arial" w:hAnsi="Arial" w:cs="Arial"/>
          <w:sz w:val="24"/>
        </w:rPr>
        <w:t>documents,</w:t>
      </w:r>
      <w:r w:rsidRPr="0064426C">
        <w:rPr>
          <w:rFonts w:ascii="Arial" w:hAnsi="Arial" w:cs="Arial"/>
          <w:spacing w:val="25"/>
          <w:sz w:val="24"/>
        </w:rPr>
        <w:t xml:space="preserve"> </w:t>
      </w:r>
      <w:r w:rsidRPr="0064426C">
        <w:rPr>
          <w:rFonts w:ascii="Arial" w:hAnsi="Arial" w:cs="Arial"/>
          <w:sz w:val="24"/>
        </w:rPr>
        <w:t>so as to be</w:t>
      </w:r>
      <w:r w:rsidR="0064426C" w:rsidRPr="0064426C">
        <w:rPr>
          <w:rFonts w:ascii="Arial" w:hAnsi="Arial" w:cs="Arial"/>
          <w:sz w:val="24"/>
        </w:rPr>
        <w:t xml:space="preserve"> capable of verification. This is the case of the alleged EIT privileges claimed by the Applicant for High and New Technology enterprises.</w:t>
      </w:r>
    </w:p>
    <w:p w14:paraId="05C3FD81" w14:textId="77777777" w:rsidR="0064426C" w:rsidRPr="0064426C" w:rsidRDefault="0064426C" w:rsidP="0064426C">
      <w:pPr>
        <w:pStyle w:val="a9"/>
        <w:rPr>
          <w:rFonts w:ascii="Arial" w:hAnsi="Arial" w:cs="Arial"/>
          <w:sz w:val="24"/>
        </w:rPr>
      </w:pPr>
    </w:p>
    <w:p w14:paraId="74FDB78B" w14:textId="79D208EB" w:rsidR="0064426C" w:rsidRPr="0064426C" w:rsidRDefault="0064426C" w:rsidP="0064426C">
      <w:pPr>
        <w:pStyle w:val="a9"/>
        <w:numPr>
          <w:ilvl w:val="0"/>
          <w:numId w:val="1"/>
        </w:numPr>
        <w:ind w:hanging="720"/>
        <w:rPr>
          <w:rFonts w:ascii="Arial" w:hAnsi="Arial" w:cs="Arial"/>
          <w:sz w:val="24"/>
        </w:rPr>
      </w:pPr>
      <w:r w:rsidRPr="0064426C">
        <w:rPr>
          <w:rFonts w:ascii="Arial" w:hAnsi="Arial" w:cs="Arial"/>
          <w:sz w:val="24"/>
        </w:rPr>
        <w:lastRenderedPageBreak/>
        <w:t>The legislation pursuant to which this alleged scheme operates clearly sets out objective criteria for eligibility. Such criteria are applied automatically. Therefore, the tax authorities concerned have no discretion in applying the specific tax rate when the conditions for eligibility are met.</w:t>
      </w:r>
    </w:p>
    <w:p w14:paraId="447737B9" w14:textId="77777777" w:rsidR="0064426C" w:rsidRPr="0064426C" w:rsidRDefault="0064426C" w:rsidP="0064426C">
      <w:pPr>
        <w:pStyle w:val="a9"/>
        <w:rPr>
          <w:rFonts w:ascii="Arial" w:hAnsi="Arial" w:cs="Arial"/>
          <w:sz w:val="24"/>
        </w:rPr>
      </w:pPr>
    </w:p>
    <w:p w14:paraId="57E4F626" w14:textId="2CA18129" w:rsidR="0064426C" w:rsidRDefault="0064426C" w:rsidP="0064426C">
      <w:pPr>
        <w:pStyle w:val="a9"/>
        <w:numPr>
          <w:ilvl w:val="0"/>
          <w:numId w:val="1"/>
        </w:numPr>
        <w:ind w:hanging="720"/>
        <w:rPr>
          <w:rFonts w:ascii="Arial" w:hAnsi="Arial" w:cs="Arial"/>
          <w:sz w:val="24"/>
        </w:rPr>
      </w:pPr>
      <w:r w:rsidRPr="0064426C">
        <w:rPr>
          <w:rFonts w:ascii="Arial" w:hAnsi="Arial" w:cs="Arial"/>
          <w:sz w:val="24"/>
        </w:rPr>
        <w:t>According to footnote 2 of the SCM Agreement, eligibility criteria are considered objective if they are neutral, do not favour certain enterprises over others, are economic in nature, and are horizontal in their application. This is the case here. Access to the specific tax rate is open to all enterprises and does not favour certain enterprises over others.</w:t>
      </w:r>
    </w:p>
    <w:p w14:paraId="52F16CF1" w14:textId="77777777" w:rsidR="0064426C" w:rsidRPr="0064426C" w:rsidRDefault="0064426C" w:rsidP="0064426C">
      <w:pPr>
        <w:pStyle w:val="a9"/>
        <w:rPr>
          <w:rFonts w:ascii="Arial" w:hAnsi="Arial" w:cs="Arial"/>
          <w:sz w:val="24"/>
        </w:rPr>
      </w:pPr>
    </w:p>
    <w:p w14:paraId="029320F8" w14:textId="6BAC7261" w:rsidR="0045188A" w:rsidRDefault="0064426C" w:rsidP="0045188A">
      <w:pPr>
        <w:pStyle w:val="3"/>
        <w:spacing w:before="0"/>
        <w:rPr>
          <w:rFonts w:ascii="Arial" w:eastAsiaTheme="minorEastAsia" w:hAnsi="Arial" w:cs="Arial"/>
          <w:b/>
          <w:bCs/>
          <w:color w:val="auto"/>
        </w:rPr>
      </w:pPr>
      <w:bookmarkStart w:id="8" w:name="_Toc161355120"/>
      <w:r w:rsidRPr="0064426C">
        <w:rPr>
          <w:rFonts w:ascii="Arial" w:eastAsiaTheme="minorEastAsia" w:hAnsi="Arial" w:cs="Arial"/>
          <w:b/>
          <w:bCs/>
          <w:color w:val="auto"/>
        </w:rPr>
        <w:t xml:space="preserve">Accelerated </w:t>
      </w:r>
      <w:r w:rsidR="00965F80">
        <w:rPr>
          <w:rFonts w:ascii="Arial" w:eastAsiaTheme="minorEastAsia" w:hAnsi="Arial" w:cs="Arial" w:hint="eastAsia"/>
          <w:b/>
          <w:bCs/>
          <w:color w:val="auto"/>
        </w:rPr>
        <w:t>D</w:t>
      </w:r>
      <w:r w:rsidRPr="0064426C">
        <w:rPr>
          <w:rFonts w:ascii="Arial" w:eastAsiaTheme="minorEastAsia" w:hAnsi="Arial" w:cs="Arial"/>
          <w:b/>
          <w:bCs/>
          <w:color w:val="auto"/>
        </w:rPr>
        <w:t xml:space="preserve">epreciation </w:t>
      </w:r>
      <w:r w:rsidR="00965F80">
        <w:rPr>
          <w:rFonts w:ascii="Arial" w:eastAsiaTheme="minorEastAsia" w:hAnsi="Arial" w:cs="Arial" w:hint="eastAsia"/>
          <w:b/>
          <w:bCs/>
          <w:color w:val="auto"/>
        </w:rPr>
        <w:t>Programme</w:t>
      </w:r>
      <w:bookmarkEnd w:id="8"/>
    </w:p>
    <w:p w14:paraId="68D003BD" w14:textId="77777777" w:rsidR="00BF1F8E" w:rsidRDefault="00BF1F8E" w:rsidP="00BF1F8E">
      <w:pPr>
        <w:pStyle w:val="a9"/>
        <w:rPr>
          <w:rFonts w:ascii="Arial" w:hAnsi="Arial" w:cs="Arial"/>
          <w:sz w:val="24"/>
        </w:rPr>
      </w:pPr>
    </w:p>
    <w:p w14:paraId="2177A312" w14:textId="0DCF67DB" w:rsidR="00965F80" w:rsidRDefault="00965F80" w:rsidP="00965F80">
      <w:pPr>
        <w:pStyle w:val="a9"/>
        <w:numPr>
          <w:ilvl w:val="0"/>
          <w:numId w:val="1"/>
        </w:numPr>
        <w:ind w:hanging="720"/>
        <w:rPr>
          <w:rFonts w:ascii="Arial" w:hAnsi="Arial" w:cs="Arial"/>
          <w:sz w:val="24"/>
        </w:rPr>
      </w:pPr>
      <w:r w:rsidRPr="00965F80">
        <w:rPr>
          <w:rFonts w:ascii="Arial" w:hAnsi="Arial" w:cs="Arial"/>
          <w:sz w:val="24"/>
        </w:rPr>
        <w:t>The Applicant further claims that the accelerated depreciation of instruments and equipment used by High-Technology enterprises for High-Technology development and production (“Accelerated Depreciation Programme”) represents a countervailable subsidy.</w:t>
      </w:r>
      <w:r>
        <w:rPr>
          <w:rStyle w:val="ab"/>
          <w:rFonts w:ascii="Arial" w:hAnsi="Arial" w:cs="Arial"/>
          <w:sz w:val="24"/>
        </w:rPr>
        <w:footnoteReference w:id="20"/>
      </w:r>
    </w:p>
    <w:p w14:paraId="70334907" w14:textId="77777777" w:rsidR="00965F80" w:rsidRPr="00965F80" w:rsidRDefault="00965F80" w:rsidP="00965F80">
      <w:pPr>
        <w:pStyle w:val="a9"/>
        <w:rPr>
          <w:rFonts w:ascii="Arial" w:hAnsi="Arial" w:cs="Arial"/>
          <w:sz w:val="24"/>
        </w:rPr>
      </w:pPr>
    </w:p>
    <w:p w14:paraId="05B7A603" w14:textId="77777777" w:rsidR="00965F80" w:rsidRPr="00965F80" w:rsidRDefault="00965F80" w:rsidP="00965F80">
      <w:pPr>
        <w:pStyle w:val="a9"/>
        <w:numPr>
          <w:ilvl w:val="0"/>
          <w:numId w:val="1"/>
        </w:numPr>
        <w:ind w:hanging="720"/>
        <w:rPr>
          <w:rFonts w:ascii="Arial" w:hAnsi="Arial" w:cs="Arial"/>
          <w:sz w:val="24"/>
        </w:rPr>
      </w:pPr>
      <w:r w:rsidRPr="00965F80">
        <w:rPr>
          <w:rFonts w:ascii="Arial" w:hAnsi="Arial" w:cs="Arial"/>
          <w:sz w:val="24"/>
        </w:rPr>
        <w:t>It is noted that accelerated depreciation is available to all companies across China and the scheme is operated on the basis of objective criteria. Furthermore, the State Taxation Administration has no discretion in its application. Thus, this alleged subsidy is also not specific.</w:t>
      </w:r>
    </w:p>
    <w:p w14:paraId="7168649A" w14:textId="77777777" w:rsidR="00965F80" w:rsidRPr="00965F80" w:rsidRDefault="00965F80" w:rsidP="00965F80">
      <w:pPr>
        <w:pStyle w:val="a9"/>
        <w:rPr>
          <w:rFonts w:ascii="Arial" w:hAnsi="Arial" w:cs="Arial"/>
          <w:sz w:val="24"/>
        </w:rPr>
      </w:pPr>
    </w:p>
    <w:p w14:paraId="76BD492A" w14:textId="506A5CF2" w:rsidR="0045188A" w:rsidRDefault="00965F80" w:rsidP="00965F80">
      <w:pPr>
        <w:pStyle w:val="a9"/>
        <w:numPr>
          <w:ilvl w:val="0"/>
          <w:numId w:val="1"/>
        </w:numPr>
        <w:ind w:hanging="720"/>
        <w:rPr>
          <w:rFonts w:ascii="Arial" w:hAnsi="Arial" w:cs="Arial"/>
          <w:sz w:val="24"/>
        </w:rPr>
      </w:pPr>
      <w:r w:rsidRPr="00965F80">
        <w:rPr>
          <w:rFonts w:ascii="Arial" w:hAnsi="Arial" w:cs="Arial"/>
          <w:sz w:val="24"/>
        </w:rPr>
        <w:t xml:space="preserve">The Applicant incorrectly claims that the programme is “specific” to certain industries including the </w:t>
      </w:r>
      <w:r>
        <w:rPr>
          <w:rFonts w:ascii="Arial" w:hAnsi="Arial" w:cs="Arial" w:hint="eastAsia"/>
          <w:sz w:val="24"/>
        </w:rPr>
        <w:t>Excavator</w:t>
      </w:r>
      <w:r w:rsidRPr="00965F80">
        <w:rPr>
          <w:rFonts w:ascii="Arial" w:hAnsi="Arial" w:cs="Arial"/>
          <w:sz w:val="24"/>
        </w:rPr>
        <w:t xml:space="preserve"> industry. Besides the fact that </w:t>
      </w:r>
      <w:r>
        <w:rPr>
          <w:rFonts w:ascii="Arial" w:hAnsi="Arial" w:cs="Arial" w:hint="eastAsia"/>
          <w:sz w:val="24"/>
        </w:rPr>
        <w:t>Excavator</w:t>
      </w:r>
      <w:r w:rsidRPr="00965F80">
        <w:rPr>
          <w:rFonts w:ascii="Arial" w:hAnsi="Arial" w:cs="Arial"/>
          <w:sz w:val="24"/>
        </w:rPr>
        <w:t xml:space="preserve"> is not directly or indirectly covered in the list of industries provided by the Applicant, the GOC wishes to clarify that from 1 January</w:t>
      </w:r>
      <w:r>
        <w:rPr>
          <w:rFonts w:ascii="Arial" w:hAnsi="Arial" w:cs="Arial" w:hint="eastAsia"/>
          <w:sz w:val="24"/>
        </w:rPr>
        <w:t xml:space="preserve"> </w:t>
      </w:r>
      <w:r w:rsidRPr="00965F80">
        <w:rPr>
          <w:rFonts w:ascii="Arial" w:hAnsi="Arial" w:cs="Arial"/>
          <w:sz w:val="24"/>
        </w:rPr>
        <w:t xml:space="preserve">2019, the scope of industries eligible for accelerated depreciation of fixed assets – as prescribed by the Notice by the Ministry of Finance and the State Taxation Administration of Improving the Enterprise Income Tax Policies on the Accelerated Depreciation of Fixed </w:t>
      </w:r>
      <w:r w:rsidRPr="00965F80">
        <w:rPr>
          <w:rFonts w:ascii="Arial" w:hAnsi="Arial" w:cs="Arial"/>
          <w:sz w:val="24"/>
        </w:rPr>
        <w:lastRenderedPageBreak/>
        <w:t>Assets (No. 75 [2014], MOF) and the Notice by the Ministry of Finance and the State Taxation Administration of Further Improving the Enterprise Income Tax Policies on the Accelerated Depreciation of Fixed Assets (No. 106 [2015], MOF) – has been expanded to all manufacturing industries.</w:t>
      </w:r>
    </w:p>
    <w:p w14:paraId="0753017D" w14:textId="77777777" w:rsidR="00965F80" w:rsidRPr="00965F80" w:rsidRDefault="00965F80" w:rsidP="00965F80">
      <w:pPr>
        <w:pStyle w:val="a9"/>
        <w:rPr>
          <w:rFonts w:ascii="Arial" w:hAnsi="Arial" w:cs="Arial"/>
          <w:sz w:val="24"/>
        </w:rPr>
      </w:pPr>
    </w:p>
    <w:p w14:paraId="20AADE19" w14:textId="4B76A0AC" w:rsidR="00965F80" w:rsidRDefault="0084311C" w:rsidP="00965F80">
      <w:pPr>
        <w:pStyle w:val="3"/>
        <w:spacing w:before="0"/>
        <w:rPr>
          <w:rFonts w:ascii="Arial" w:eastAsiaTheme="minorEastAsia" w:hAnsi="Arial" w:cs="Arial"/>
          <w:b/>
          <w:bCs/>
          <w:color w:val="auto"/>
        </w:rPr>
      </w:pPr>
      <w:bookmarkStart w:id="9" w:name="_Toc161355121"/>
      <w:r>
        <w:rPr>
          <w:rFonts w:ascii="Arial" w:eastAsiaTheme="minorEastAsia" w:hAnsi="Arial" w:cs="Arial" w:hint="eastAsia"/>
          <w:b/>
          <w:bCs/>
          <w:color w:val="auto"/>
        </w:rPr>
        <w:t>T</w:t>
      </w:r>
      <w:r w:rsidR="00965F80" w:rsidRPr="00965F80">
        <w:rPr>
          <w:rFonts w:ascii="Arial" w:eastAsiaTheme="minorEastAsia" w:hAnsi="Arial" w:cs="Arial"/>
          <w:b/>
          <w:bCs/>
          <w:color w:val="auto"/>
        </w:rPr>
        <w:t>ax offset for research and development</w:t>
      </w:r>
      <w:bookmarkEnd w:id="9"/>
    </w:p>
    <w:p w14:paraId="335C7230" w14:textId="77777777" w:rsidR="00BF1F8E" w:rsidRDefault="00BF1F8E" w:rsidP="00BF1F8E">
      <w:pPr>
        <w:pStyle w:val="a9"/>
        <w:widowControl w:val="0"/>
        <w:tabs>
          <w:tab w:val="left" w:pos="917"/>
        </w:tabs>
        <w:autoSpaceDE w:val="0"/>
        <w:autoSpaceDN w:val="0"/>
        <w:ind w:right="95"/>
        <w:rPr>
          <w:rFonts w:ascii="Arial" w:hAnsi="Arial" w:cs="Arial"/>
          <w:sz w:val="24"/>
        </w:rPr>
      </w:pPr>
    </w:p>
    <w:p w14:paraId="4EAAE6AD" w14:textId="0F2C58EF" w:rsidR="00A64F02" w:rsidRPr="00A64F02" w:rsidRDefault="00A64F02" w:rsidP="00A64F02">
      <w:pPr>
        <w:pStyle w:val="a9"/>
        <w:widowControl w:val="0"/>
        <w:numPr>
          <w:ilvl w:val="0"/>
          <w:numId w:val="1"/>
        </w:numPr>
        <w:tabs>
          <w:tab w:val="left" w:pos="917"/>
        </w:tabs>
        <w:autoSpaceDE w:val="0"/>
        <w:autoSpaceDN w:val="0"/>
        <w:ind w:right="95" w:hanging="720"/>
        <w:rPr>
          <w:rFonts w:ascii="Arial" w:hAnsi="Arial" w:cs="Arial"/>
          <w:sz w:val="24"/>
        </w:rPr>
      </w:pPr>
      <w:r w:rsidRPr="00A64F02">
        <w:rPr>
          <w:rFonts w:ascii="Arial" w:hAnsi="Arial" w:cs="Arial"/>
          <w:sz w:val="24"/>
        </w:rPr>
        <w:t>In a similar manner as the schemes discussed above, the Applicant claims that research and development (“R&amp;D”) expenses incurred in the development of new technologies are additionally deductible and that this constitutes a countervailable</w:t>
      </w:r>
      <w:r w:rsidRPr="00A64F02">
        <w:rPr>
          <w:rFonts w:ascii="Arial" w:hAnsi="Arial" w:cs="Arial"/>
          <w:spacing w:val="-8"/>
          <w:sz w:val="24"/>
        </w:rPr>
        <w:t xml:space="preserve"> </w:t>
      </w:r>
      <w:r w:rsidRPr="00A64F02">
        <w:rPr>
          <w:rFonts w:ascii="Arial" w:hAnsi="Arial" w:cs="Arial"/>
          <w:sz w:val="24"/>
        </w:rPr>
        <w:t>subsidy.</w:t>
      </w:r>
    </w:p>
    <w:p w14:paraId="0D604D1F" w14:textId="4B4A8B06" w:rsidR="00A64F02" w:rsidRPr="00A64F02" w:rsidRDefault="00A64F02" w:rsidP="00DC51C5">
      <w:pPr>
        <w:pStyle w:val="a9"/>
        <w:widowControl w:val="0"/>
        <w:numPr>
          <w:ilvl w:val="0"/>
          <w:numId w:val="1"/>
        </w:numPr>
        <w:tabs>
          <w:tab w:val="left" w:pos="917"/>
        </w:tabs>
        <w:autoSpaceDE w:val="0"/>
        <w:autoSpaceDN w:val="0"/>
        <w:spacing w:before="239"/>
        <w:ind w:right="95" w:hanging="786"/>
        <w:contextualSpacing w:val="0"/>
        <w:rPr>
          <w:rFonts w:ascii="Arial" w:hAnsi="Arial" w:cs="Arial"/>
          <w:sz w:val="24"/>
        </w:rPr>
      </w:pPr>
      <w:r w:rsidRPr="00A64F02">
        <w:rPr>
          <w:rFonts w:ascii="Arial" w:hAnsi="Arial" w:cs="Arial"/>
          <w:sz w:val="24"/>
        </w:rPr>
        <w:t>The</w:t>
      </w:r>
      <w:r w:rsidRPr="00A64F02">
        <w:rPr>
          <w:rFonts w:ascii="Arial" w:hAnsi="Arial" w:cs="Arial"/>
          <w:spacing w:val="-8"/>
          <w:sz w:val="24"/>
        </w:rPr>
        <w:t xml:space="preserve"> </w:t>
      </w:r>
      <w:r w:rsidRPr="00A64F02">
        <w:rPr>
          <w:rFonts w:ascii="Arial" w:hAnsi="Arial" w:cs="Arial"/>
          <w:sz w:val="24"/>
        </w:rPr>
        <w:t>GOC</w:t>
      </w:r>
      <w:r w:rsidRPr="00A64F02">
        <w:rPr>
          <w:rFonts w:ascii="Arial" w:hAnsi="Arial" w:cs="Arial"/>
          <w:spacing w:val="-6"/>
          <w:sz w:val="24"/>
        </w:rPr>
        <w:t xml:space="preserve"> </w:t>
      </w:r>
      <w:r w:rsidRPr="00A64F02">
        <w:rPr>
          <w:rFonts w:ascii="Arial" w:hAnsi="Arial" w:cs="Arial"/>
          <w:sz w:val="24"/>
        </w:rPr>
        <w:t>recalls</w:t>
      </w:r>
      <w:r w:rsidRPr="00A64F02">
        <w:rPr>
          <w:rFonts w:ascii="Arial" w:hAnsi="Arial" w:cs="Arial"/>
          <w:spacing w:val="-7"/>
          <w:sz w:val="24"/>
        </w:rPr>
        <w:t xml:space="preserve"> </w:t>
      </w:r>
      <w:r w:rsidRPr="00A64F02">
        <w:rPr>
          <w:rFonts w:ascii="Arial" w:hAnsi="Arial" w:cs="Arial"/>
          <w:sz w:val="24"/>
        </w:rPr>
        <w:t>that</w:t>
      </w:r>
      <w:r w:rsidRPr="00A64F02">
        <w:rPr>
          <w:rFonts w:ascii="Arial" w:hAnsi="Arial" w:cs="Arial"/>
          <w:spacing w:val="-6"/>
          <w:sz w:val="24"/>
        </w:rPr>
        <w:t xml:space="preserve"> </w:t>
      </w:r>
      <w:r w:rsidRPr="00A64F02">
        <w:rPr>
          <w:rFonts w:ascii="Arial" w:hAnsi="Arial" w:cs="Arial"/>
          <w:sz w:val="24"/>
        </w:rPr>
        <w:t>that</w:t>
      </w:r>
      <w:r w:rsidRPr="00A64F02">
        <w:rPr>
          <w:rFonts w:ascii="Arial" w:hAnsi="Arial" w:cs="Arial"/>
          <w:spacing w:val="-6"/>
          <w:sz w:val="24"/>
        </w:rPr>
        <w:t xml:space="preserve"> </w:t>
      </w:r>
      <w:r w:rsidRPr="00A64F02">
        <w:rPr>
          <w:rFonts w:ascii="Arial" w:hAnsi="Arial" w:cs="Arial"/>
          <w:sz w:val="24"/>
        </w:rPr>
        <w:t>tax</w:t>
      </w:r>
      <w:r w:rsidRPr="00A64F02">
        <w:rPr>
          <w:rFonts w:ascii="Arial" w:hAnsi="Arial" w:cs="Arial"/>
          <w:spacing w:val="-8"/>
          <w:sz w:val="24"/>
        </w:rPr>
        <w:t xml:space="preserve"> </w:t>
      </w:r>
      <w:r w:rsidRPr="00A64F02">
        <w:rPr>
          <w:rFonts w:ascii="Arial" w:hAnsi="Arial" w:cs="Arial"/>
          <w:sz w:val="24"/>
        </w:rPr>
        <w:t>offset</w:t>
      </w:r>
      <w:r w:rsidRPr="00A64F02">
        <w:rPr>
          <w:rFonts w:ascii="Arial" w:hAnsi="Arial" w:cs="Arial"/>
          <w:spacing w:val="-6"/>
          <w:sz w:val="24"/>
        </w:rPr>
        <w:t xml:space="preserve"> </w:t>
      </w:r>
      <w:r w:rsidRPr="00A64F02">
        <w:rPr>
          <w:rFonts w:ascii="Arial" w:hAnsi="Arial" w:cs="Arial"/>
          <w:sz w:val="24"/>
        </w:rPr>
        <w:t>for</w:t>
      </w:r>
      <w:r w:rsidRPr="00A64F02">
        <w:rPr>
          <w:rFonts w:ascii="Arial" w:hAnsi="Arial" w:cs="Arial"/>
          <w:spacing w:val="-9"/>
          <w:sz w:val="24"/>
        </w:rPr>
        <w:t xml:space="preserve"> </w:t>
      </w:r>
      <w:r w:rsidRPr="00A64F02">
        <w:rPr>
          <w:rFonts w:ascii="Arial" w:hAnsi="Arial" w:cs="Arial"/>
          <w:sz w:val="24"/>
        </w:rPr>
        <w:t>R&amp;D</w:t>
      </w:r>
      <w:r w:rsidRPr="00A64F02">
        <w:rPr>
          <w:rFonts w:ascii="Arial" w:hAnsi="Arial" w:cs="Arial"/>
          <w:spacing w:val="-6"/>
          <w:sz w:val="24"/>
        </w:rPr>
        <w:t xml:space="preserve"> </w:t>
      </w:r>
      <w:r w:rsidRPr="00A64F02">
        <w:rPr>
          <w:rFonts w:ascii="Arial" w:hAnsi="Arial" w:cs="Arial"/>
          <w:sz w:val="24"/>
        </w:rPr>
        <w:t>is</w:t>
      </w:r>
      <w:r w:rsidRPr="00A64F02">
        <w:rPr>
          <w:rFonts w:ascii="Arial" w:hAnsi="Arial" w:cs="Arial"/>
          <w:spacing w:val="-8"/>
          <w:sz w:val="24"/>
        </w:rPr>
        <w:t xml:space="preserve"> </w:t>
      </w:r>
      <w:r w:rsidRPr="00A64F02">
        <w:rPr>
          <w:rFonts w:ascii="Arial" w:hAnsi="Arial" w:cs="Arial"/>
          <w:sz w:val="24"/>
        </w:rPr>
        <w:t>available</w:t>
      </w:r>
      <w:r w:rsidRPr="00A64F02">
        <w:rPr>
          <w:rFonts w:ascii="Arial" w:hAnsi="Arial" w:cs="Arial"/>
          <w:spacing w:val="-8"/>
          <w:sz w:val="24"/>
        </w:rPr>
        <w:t xml:space="preserve"> </w:t>
      </w:r>
      <w:r w:rsidRPr="00A64F02">
        <w:rPr>
          <w:rFonts w:ascii="Arial" w:hAnsi="Arial" w:cs="Arial"/>
          <w:sz w:val="24"/>
        </w:rPr>
        <w:t>to</w:t>
      </w:r>
      <w:r w:rsidRPr="00A64F02">
        <w:rPr>
          <w:rFonts w:ascii="Arial" w:hAnsi="Arial" w:cs="Arial"/>
          <w:spacing w:val="-6"/>
          <w:sz w:val="24"/>
        </w:rPr>
        <w:t xml:space="preserve"> </w:t>
      </w:r>
      <w:r w:rsidRPr="00A64F02">
        <w:rPr>
          <w:rFonts w:ascii="Arial" w:hAnsi="Arial" w:cs="Arial"/>
          <w:sz w:val="24"/>
        </w:rPr>
        <w:t>all</w:t>
      </w:r>
      <w:r w:rsidRPr="00A64F02">
        <w:rPr>
          <w:rFonts w:ascii="Arial" w:hAnsi="Arial" w:cs="Arial"/>
          <w:spacing w:val="-8"/>
          <w:sz w:val="24"/>
        </w:rPr>
        <w:t xml:space="preserve"> </w:t>
      </w:r>
      <w:r w:rsidRPr="00A64F02">
        <w:rPr>
          <w:rFonts w:ascii="Arial" w:hAnsi="Arial" w:cs="Arial"/>
          <w:sz w:val="24"/>
        </w:rPr>
        <w:t>companies</w:t>
      </w:r>
      <w:r w:rsidRPr="00A64F02">
        <w:rPr>
          <w:rFonts w:ascii="Arial" w:hAnsi="Arial" w:cs="Arial"/>
          <w:spacing w:val="-7"/>
          <w:sz w:val="24"/>
        </w:rPr>
        <w:t xml:space="preserve"> </w:t>
      </w:r>
      <w:r w:rsidRPr="00A64F02">
        <w:rPr>
          <w:rFonts w:ascii="Arial" w:hAnsi="Arial" w:cs="Arial"/>
          <w:sz w:val="24"/>
        </w:rPr>
        <w:t>across</w:t>
      </w:r>
      <w:r w:rsidRPr="00A64F02">
        <w:rPr>
          <w:rFonts w:ascii="Arial" w:hAnsi="Arial" w:cs="Arial"/>
          <w:spacing w:val="-7"/>
          <w:sz w:val="24"/>
        </w:rPr>
        <w:t xml:space="preserve"> </w:t>
      </w:r>
      <w:r w:rsidRPr="00A64F02">
        <w:rPr>
          <w:rFonts w:ascii="Arial" w:hAnsi="Arial" w:cs="Arial"/>
          <w:sz w:val="24"/>
        </w:rPr>
        <w:t>China</w:t>
      </w:r>
      <w:r w:rsidRPr="00A64F02">
        <w:rPr>
          <w:rFonts w:ascii="Arial" w:hAnsi="Arial" w:cs="Arial"/>
          <w:spacing w:val="-7"/>
          <w:sz w:val="24"/>
        </w:rPr>
        <w:t xml:space="preserve"> </w:t>
      </w:r>
      <w:r w:rsidRPr="00A64F02">
        <w:rPr>
          <w:rFonts w:ascii="Arial" w:hAnsi="Arial" w:cs="Arial"/>
          <w:sz w:val="24"/>
        </w:rPr>
        <w:t>and</w:t>
      </w:r>
      <w:r w:rsidRPr="00A64F02">
        <w:rPr>
          <w:rFonts w:ascii="Arial" w:hAnsi="Arial" w:cs="Arial"/>
          <w:spacing w:val="-7"/>
          <w:sz w:val="24"/>
        </w:rPr>
        <w:t xml:space="preserve"> </w:t>
      </w:r>
      <w:r w:rsidRPr="00A64F02">
        <w:rPr>
          <w:rFonts w:ascii="Arial" w:hAnsi="Arial" w:cs="Arial"/>
          <w:sz w:val="24"/>
        </w:rPr>
        <w:t xml:space="preserve">the scheme is operated on the basis of objective criteria. Furthermore, the State </w:t>
      </w:r>
      <w:r w:rsidRPr="00A64F02">
        <w:rPr>
          <w:rFonts w:ascii="Arial" w:hAnsi="Arial" w:cs="Arial"/>
          <w:spacing w:val="-3"/>
          <w:sz w:val="24"/>
        </w:rPr>
        <w:t xml:space="preserve">Taxation </w:t>
      </w:r>
      <w:r w:rsidRPr="00A64F02">
        <w:rPr>
          <w:rFonts w:ascii="Arial" w:hAnsi="Arial" w:cs="Arial"/>
          <w:sz w:val="24"/>
        </w:rPr>
        <w:t>Administration has no discretion in its application. Thus, this alleged subsidy is also not specific.</w:t>
      </w:r>
      <w:r w:rsidR="00B0310B">
        <w:rPr>
          <w:rFonts w:ascii="Arial" w:hAnsi="Arial" w:cs="Arial" w:hint="eastAsia"/>
          <w:sz w:val="24"/>
        </w:rPr>
        <w:t xml:space="preserve"> </w:t>
      </w:r>
    </w:p>
    <w:p w14:paraId="427B62AC" w14:textId="77777777" w:rsidR="00A64F02" w:rsidRPr="00A64F02" w:rsidRDefault="00A64F02" w:rsidP="00A64F02">
      <w:pPr>
        <w:pStyle w:val="a7"/>
        <w:spacing w:before="10"/>
        <w:ind w:right="95" w:hanging="916"/>
        <w:rPr>
          <w:rFonts w:ascii="Arial" w:hAnsi="Arial" w:cs="Arial"/>
          <w:sz w:val="20"/>
        </w:rPr>
      </w:pPr>
    </w:p>
    <w:p w14:paraId="1285341C" w14:textId="331C9F79" w:rsidR="00A64F02" w:rsidRDefault="00A64F02" w:rsidP="00376F25">
      <w:pPr>
        <w:pStyle w:val="a9"/>
        <w:widowControl w:val="0"/>
        <w:numPr>
          <w:ilvl w:val="0"/>
          <w:numId w:val="1"/>
        </w:numPr>
        <w:tabs>
          <w:tab w:val="left" w:pos="917"/>
        </w:tabs>
        <w:autoSpaceDE w:val="0"/>
        <w:autoSpaceDN w:val="0"/>
        <w:ind w:right="95" w:hanging="720"/>
        <w:contextualSpacing w:val="0"/>
        <w:rPr>
          <w:rFonts w:ascii="Arial" w:hAnsi="Arial" w:cs="Arial"/>
          <w:sz w:val="24"/>
        </w:rPr>
      </w:pPr>
      <w:r w:rsidRPr="00376F25">
        <w:rPr>
          <w:rFonts w:ascii="Arial" w:hAnsi="Arial" w:cs="Arial"/>
          <w:sz w:val="24"/>
        </w:rPr>
        <w:t>Indeed, tax offset for R&amp;D is based on a specific legislative source consisting of legislative provisions setting out objective criteria for eligibility that are applied consistently and automatically,</w:t>
      </w:r>
      <w:r w:rsidRPr="00376F25">
        <w:rPr>
          <w:rFonts w:ascii="Arial" w:hAnsi="Arial" w:cs="Arial"/>
          <w:spacing w:val="-17"/>
          <w:sz w:val="24"/>
        </w:rPr>
        <w:t xml:space="preserve"> </w:t>
      </w:r>
      <w:r w:rsidRPr="00376F25">
        <w:rPr>
          <w:rFonts w:ascii="Arial" w:hAnsi="Arial" w:cs="Arial"/>
          <w:sz w:val="24"/>
        </w:rPr>
        <w:t>just</w:t>
      </w:r>
      <w:r w:rsidRPr="00376F25">
        <w:rPr>
          <w:rFonts w:ascii="Arial" w:hAnsi="Arial" w:cs="Arial"/>
          <w:spacing w:val="-16"/>
          <w:sz w:val="24"/>
        </w:rPr>
        <w:t xml:space="preserve"> </w:t>
      </w:r>
      <w:r w:rsidRPr="00376F25">
        <w:rPr>
          <w:rFonts w:ascii="Arial" w:hAnsi="Arial" w:cs="Arial"/>
          <w:sz w:val="24"/>
        </w:rPr>
        <w:t>like</w:t>
      </w:r>
      <w:r w:rsidRPr="00376F25">
        <w:rPr>
          <w:rFonts w:ascii="Arial" w:hAnsi="Arial" w:cs="Arial"/>
          <w:spacing w:val="-17"/>
          <w:sz w:val="24"/>
        </w:rPr>
        <w:t xml:space="preserve"> </w:t>
      </w:r>
      <w:r w:rsidRPr="00376F25">
        <w:rPr>
          <w:rFonts w:ascii="Arial" w:hAnsi="Arial" w:cs="Arial"/>
          <w:sz w:val="24"/>
        </w:rPr>
        <w:t>the</w:t>
      </w:r>
      <w:r w:rsidRPr="00376F25">
        <w:rPr>
          <w:rFonts w:ascii="Arial" w:hAnsi="Arial" w:cs="Arial"/>
          <w:spacing w:val="-16"/>
          <w:sz w:val="24"/>
        </w:rPr>
        <w:t xml:space="preserve"> </w:t>
      </w:r>
      <w:r w:rsidRPr="00376F25">
        <w:rPr>
          <w:rFonts w:ascii="Arial" w:hAnsi="Arial" w:cs="Arial"/>
          <w:sz w:val="24"/>
        </w:rPr>
        <w:t>schemes</w:t>
      </w:r>
      <w:r w:rsidRPr="00376F25">
        <w:rPr>
          <w:rFonts w:ascii="Arial" w:hAnsi="Arial" w:cs="Arial"/>
          <w:spacing w:val="-17"/>
          <w:sz w:val="24"/>
        </w:rPr>
        <w:t xml:space="preserve"> </w:t>
      </w:r>
      <w:r w:rsidRPr="00376F25">
        <w:rPr>
          <w:rFonts w:ascii="Arial" w:hAnsi="Arial" w:cs="Arial"/>
          <w:sz w:val="24"/>
        </w:rPr>
        <w:t>discussed</w:t>
      </w:r>
      <w:r w:rsidRPr="00376F25">
        <w:rPr>
          <w:rFonts w:ascii="Arial" w:hAnsi="Arial" w:cs="Arial"/>
          <w:spacing w:val="-14"/>
          <w:sz w:val="24"/>
        </w:rPr>
        <w:t xml:space="preserve"> </w:t>
      </w:r>
      <w:r w:rsidRPr="00376F25">
        <w:rPr>
          <w:rFonts w:ascii="Arial" w:hAnsi="Arial" w:cs="Arial"/>
          <w:sz w:val="24"/>
        </w:rPr>
        <w:t>above.</w:t>
      </w:r>
      <w:r w:rsidRPr="00376F25">
        <w:rPr>
          <w:rFonts w:ascii="Arial" w:hAnsi="Arial" w:cs="Arial"/>
          <w:spacing w:val="-6"/>
          <w:sz w:val="24"/>
        </w:rPr>
        <w:t xml:space="preserve"> </w:t>
      </w:r>
      <w:r w:rsidRPr="00376F25">
        <w:rPr>
          <w:rFonts w:ascii="Arial" w:hAnsi="Arial" w:cs="Arial"/>
          <w:sz w:val="24"/>
        </w:rPr>
        <w:t>Thus,</w:t>
      </w:r>
      <w:r w:rsidRPr="00376F25">
        <w:rPr>
          <w:rFonts w:ascii="Arial" w:hAnsi="Arial" w:cs="Arial"/>
          <w:spacing w:val="-17"/>
          <w:sz w:val="24"/>
        </w:rPr>
        <w:t xml:space="preserve"> </w:t>
      </w:r>
      <w:r w:rsidRPr="00376F25">
        <w:rPr>
          <w:rFonts w:ascii="Arial" w:hAnsi="Arial" w:cs="Arial"/>
          <w:sz w:val="24"/>
        </w:rPr>
        <w:t>for</w:t>
      </w:r>
      <w:r w:rsidRPr="00376F25">
        <w:rPr>
          <w:rFonts w:ascii="Arial" w:hAnsi="Arial" w:cs="Arial"/>
          <w:spacing w:val="-17"/>
          <w:sz w:val="24"/>
        </w:rPr>
        <w:t xml:space="preserve"> </w:t>
      </w:r>
      <w:r w:rsidRPr="00376F25">
        <w:rPr>
          <w:rFonts w:ascii="Arial" w:hAnsi="Arial" w:cs="Arial"/>
          <w:sz w:val="24"/>
        </w:rPr>
        <w:t>the</w:t>
      </w:r>
      <w:r w:rsidRPr="00376F25">
        <w:rPr>
          <w:rFonts w:ascii="Arial" w:hAnsi="Arial" w:cs="Arial"/>
          <w:spacing w:val="-15"/>
          <w:sz w:val="24"/>
        </w:rPr>
        <w:t xml:space="preserve"> </w:t>
      </w:r>
      <w:r w:rsidRPr="00376F25">
        <w:rPr>
          <w:rFonts w:ascii="Arial" w:hAnsi="Arial" w:cs="Arial"/>
          <w:sz w:val="24"/>
        </w:rPr>
        <w:t>same</w:t>
      </w:r>
      <w:r w:rsidRPr="00376F25">
        <w:rPr>
          <w:rFonts w:ascii="Arial" w:hAnsi="Arial" w:cs="Arial"/>
          <w:spacing w:val="-15"/>
          <w:sz w:val="24"/>
        </w:rPr>
        <w:t xml:space="preserve"> </w:t>
      </w:r>
      <w:r w:rsidRPr="00376F25">
        <w:rPr>
          <w:rFonts w:ascii="Arial" w:hAnsi="Arial" w:cs="Arial"/>
          <w:sz w:val="24"/>
        </w:rPr>
        <w:t>reasons</w:t>
      </w:r>
      <w:r w:rsidRPr="00376F25">
        <w:rPr>
          <w:rFonts w:ascii="Arial" w:hAnsi="Arial" w:cs="Arial"/>
          <w:spacing w:val="-16"/>
          <w:sz w:val="24"/>
        </w:rPr>
        <w:t xml:space="preserve"> </w:t>
      </w:r>
      <w:r w:rsidRPr="00376F25">
        <w:rPr>
          <w:rFonts w:ascii="Arial" w:hAnsi="Arial" w:cs="Arial"/>
          <w:sz w:val="24"/>
        </w:rPr>
        <w:t>set</w:t>
      </w:r>
      <w:r w:rsidRPr="00376F25">
        <w:rPr>
          <w:rFonts w:ascii="Arial" w:hAnsi="Arial" w:cs="Arial"/>
          <w:spacing w:val="-15"/>
          <w:sz w:val="24"/>
        </w:rPr>
        <w:t xml:space="preserve"> </w:t>
      </w:r>
      <w:r w:rsidRPr="00376F25">
        <w:rPr>
          <w:rFonts w:ascii="Arial" w:hAnsi="Arial" w:cs="Arial"/>
          <w:sz w:val="24"/>
        </w:rPr>
        <w:t>out</w:t>
      </w:r>
      <w:r w:rsidRPr="00376F25">
        <w:rPr>
          <w:rFonts w:ascii="Arial" w:hAnsi="Arial" w:cs="Arial"/>
          <w:spacing w:val="-14"/>
          <w:sz w:val="24"/>
        </w:rPr>
        <w:t xml:space="preserve"> </w:t>
      </w:r>
      <w:r w:rsidRPr="00376F25">
        <w:rPr>
          <w:rFonts w:ascii="Arial" w:hAnsi="Arial" w:cs="Arial"/>
          <w:sz w:val="24"/>
        </w:rPr>
        <w:t>above, the Applicant’s claim that “</w:t>
      </w:r>
      <w:r w:rsidR="00376F25" w:rsidRPr="00376F25">
        <w:rPr>
          <w:rFonts w:ascii="Arial" w:hAnsi="Arial" w:cs="Arial"/>
          <w:i/>
          <w:sz w:val="24"/>
        </w:rPr>
        <w:t>the R&amp;D Deduction is available only for R&amp;D expenses incurred related</w:t>
      </w:r>
      <w:r w:rsidR="00376F25" w:rsidRPr="00376F25">
        <w:rPr>
          <w:rFonts w:ascii="Arial" w:hAnsi="Arial" w:cs="Arial" w:hint="eastAsia"/>
          <w:i/>
          <w:sz w:val="24"/>
        </w:rPr>
        <w:t xml:space="preserve"> </w:t>
      </w:r>
      <w:r w:rsidR="00376F25" w:rsidRPr="00376F25">
        <w:rPr>
          <w:rFonts w:ascii="Arial" w:hAnsi="Arial" w:cs="Arial"/>
          <w:i/>
          <w:sz w:val="24"/>
        </w:rPr>
        <w:t>to R&amp;D for new technologies, products or techniques for eligible</w:t>
      </w:r>
      <w:r w:rsidR="00376F25" w:rsidRPr="00376F25">
        <w:rPr>
          <w:rFonts w:ascii="Arial" w:hAnsi="Arial" w:cs="Arial" w:hint="eastAsia"/>
          <w:i/>
          <w:sz w:val="24"/>
        </w:rPr>
        <w:t xml:space="preserve"> </w:t>
      </w:r>
      <w:r w:rsidR="00376F25" w:rsidRPr="00376F25">
        <w:rPr>
          <w:rFonts w:ascii="Arial" w:hAnsi="Arial" w:cs="Arial"/>
          <w:i/>
          <w:sz w:val="24"/>
        </w:rPr>
        <w:t>enterprises.</w:t>
      </w:r>
      <w:r w:rsidR="00376F25" w:rsidRPr="00376F25">
        <w:t xml:space="preserve"> </w:t>
      </w:r>
      <w:r w:rsidR="00376F25" w:rsidRPr="00376F25">
        <w:rPr>
          <w:rFonts w:ascii="Arial" w:hAnsi="Arial" w:cs="Arial"/>
          <w:i/>
          <w:sz w:val="24"/>
        </w:rPr>
        <w:t>This scheme thus is specific</w:t>
      </w:r>
      <w:r w:rsidRPr="00376F25">
        <w:rPr>
          <w:rFonts w:ascii="Arial" w:hAnsi="Arial" w:cs="Arial"/>
          <w:sz w:val="24"/>
        </w:rPr>
        <w:t>”</w:t>
      </w:r>
      <w:r w:rsidR="00B9791B">
        <w:rPr>
          <w:rStyle w:val="ab"/>
          <w:rFonts w:ascii="Arial" w:hAnsi="Arial" w:cs="Arial"/>
          <w:sz w:val="24"/>
        </w:rPr>
        <w:footnoteReference w:id="21"/>
      </w:r>
      <w:r w:rsidRPr="00376F25">
        <w:rPr>
          <w:rFonts w:ascii="Arial" w:hAnsi="Arial" w:cs="Arial"/>
          <w:sz w:val="24"/>
        </w:rPr>
        <w:t xml:space="preserve"> </w:t>
      </w:r>
      <w:r w:rsidR="00376F25">
        <w:rPr>
          <w:rFonts w:ascii="Arial" w:hAnsi="Arial" w:cs="Arial" w:hint="eastAsia"/>
          <w:sz w:val="24"/>
        </w:rPr>
        <w:t>to</w:t>
      </w:r>
      <w:r w:rsidRPr="00376F25">
        <w:rPr>
          <w:rFonts w:ascii="Arial" w:hAnsi="Arial" w:cs="Arial"/>
          <w:i/>
          <w:sz w:val="24"/>
        </w:rPr>
        <w:t xml:space="preserve"> </w:t>
      </w:r>
      <w:r w:rsidRPr="00376F25">
        <w:rPr>
          <w:rFonts w:ascii="Arial" w:hAnsi="Arial" w:cs="Arial" w:hint="eastAsia"/>
          <w:i/>
          <w:sz w:val="24"/>
        </w:rPr>
        <w:t>Ex</w:t>
      </w:r>
      <w:r w:rsidR="00B9791B">
        <w:rPr>
          <w:rFonts w:ascii="Arial" w:hAnsi="Arial" w:cs="Arial" w:hint="eastAsia"/>
          <w:i/>
          <w:sz w:val="24"/>
        </w:rPr>
        <w:t>ca</w:t>
      </w:r>
      <w:r w:rsidRPr="00376F25">
        <w:rPr>
          <w:rFonts w:ascii="Arial" w:hAnsi="Arial" w:cs="Arial" w:hint="eastAsia"/>
          <w:i/>
          <w:sz w:val="24"/>
        </w:rPr>
        <w:t>vator</w:t>
      </w:r>
      <w:r w:rsidRPr="00376F25">
        <w:rPr>
          <w:rFonts w:ascii="Arial" w:hAnsi="Arial" w:cs="Arial"/>
          <w:i/>
          <w:sz w:val="24"/>
        </w:rPr>
        <w:t xml:space="preserve"> producers </w:t>
      </w:r>
      <w:r w:rsidRPr="00376F25">
        <w:rPr>
          <w:rFonts w:ascii="Arial" w:hAnsi="Arial" w:cs="Arial"/>
          <w:sz w:val="24"/>
        </w:rPr>
        <w:t>should be dismissed as incorrect and</w:t>
      </w:r>
      <w:r w:rsidRPr="00376F25">
        <w:rPr>
          <w:rFonts w:ascii="Arial" w:hAnsi="Arial" w:cs="Arial"/>
          <w:spacing w:val="-3"/>
          <w:sz w:val="24"/>
        </w:rPr>
        <w:t xml:space="preserve"> </w:t>
      </w:r>
      <w:r w:rsidRPr="00376F25">
        <w:rPr>
          <w:rFonts w:ascii="Arial" w:hAnsi="Arial" w:cs="Arial"/>
          <w:sz w:val="24"/>
        </w:rPr>
        <w:t>unsupported.</w:t>
      </w:r>
    </w:p>
    <w:p w14:paraId="41F9D50D" w14:textId="77777777" w:rsidR="00DC51C5" w:rsidRPr="00DC51C5" w:rsidRDefault="00DC51C5" w:rsidP="00DC51C5">
      <w:pPr>
        <w:pStyle w:val="a9"/>
        <w:rPr>
          <w:rFonts w:ascii="Arial" w:hAnsi="Arial" w:cs="Arial"/>
          <w:sz w:val="24"/>
        </w:rPr>
      </w:pPr>
    </w:p>
    <w:p w14:paraId="7593C533" w14:textId="5E5AB69C" w:rsidR="00376F25" w:rsidRDefault="00DC51C5" w:rsidP="001F79D9">
      <w:pPr>
        <w:pStyle w:val="a9"/>
        <w:widowControl w:val="0"/>
        <w:numPr>
          <w:ilvl w:val="0"/>
          <w:numId w:val="1"/>
        </w:numPr>
        <w:tabs>
          <w:tab w:val="left" w:pos="917"/>
        </w:tabs>
        <w:autoSpaceDE w:val="0"/>
        <w:autoSpaceDN w:val="0"/>
        <w:ind w:right="95" w:hanging="720"/>
        <w:contextualSpacing w:val="0"/>
        <w:rPr>
          <w:rFonts w:ascii="Arial" w:hAnsi="Arial" w:cs="Arial"/>
          <w:sz w:val="24"/>
        </w:rPr>
      </w:pPr>
      <w:r w:rsidRPr="00300A08">
        <w:rPr>
          <w:rFonts w:ascii="Arial" w:hAnsi="Arial" w:cs="Arial" w:hint="eastAsia"/>
          <w:sz w:val="24"/>
        </w:rPr>
        <w:t>The GOC</w:t>
      </w:r>
      <w:r w:rsidR="003415A1" w:rsidRPr="00300A08">
        <w:rPr>
          <w:rFonts w:ascii="Arial" w:hAnsi="Arial" w:cs="Arial" w:hint="eastAsia"/>
          <w:sz w:val="24"/>
        </w:rPr>
        <w:t xml:space="preserve"> </w:t>
      </w:r>
      <w:r w:rsidR="003415A1" w:rsidRPr="00300A08">
        <w:rPr>
          <w:rFonts w:ascii="Arial" w:hAnsi="Arial" w:cs="Arial"/>
          <w:sz w:val="24"/>
        </w:rPr>
        <w:t>respectfully</w:t>
      </w:r>
      <w:r w:rsidR="003415A1" w:rsidRPr="00300A08">
        <w:rPr>
          <w:rFonts w:ascii="Arial" w:hAnsi="Arial" w:cs="Arial" w:hint="eastAsia"/>
          <w:sz w:val="24"/>
        </w:rPr>
        <w:t xml:space="preserve"> reminds the TRA that in its Statement of Essential Facts (SEF)</w:t>
      </w:r>
      <w:r w:rsidRPr="00300A08">
        <w:rPr>
          <w:rFonts w:ascii="Arial" w:hAnsi="Arial" w:cs="Arial" w:hint="eastAsia"/>
          <w:sz w:val="24"/>
        </w:rPr>
        <w:t xml:space="preserve"> In AS0022</w:t>
      </w:r>
      <w:r w:rsidR="003415A1" w:rsidRPr="00300A08">
        <w:rPr>
          <w:rFonts w:ascii="Arial" w:hAnsi="Arial" w:cs="Arial" w:hint="eastAsia"/>
          <w:sz w:val="24"/>
        </w:rPr>
        <w:t xml:space="preserve">, an anti-subsidy investigation </w:t>
      </w:r>
      <w:r w:rsidR="00300A08" w:rsidRPr="00300A08">
        <w:rPr>
          <w:rFonts w:ascii="Arial" w:hAnsi="Arial" w:cs="Arial" w:hint="eastAsia"/>
          <w:sz w:val="24"/>
        </w:rPr>
        <w:t xml:space="preserve">concerning the imports of </w:t>
      </w:r>
      <w:r w:rsidR="00300A08" w:rsidRPr="00300A08">
        <w:rPr>
          <w:rFonts w:ascii="Arial" w:hAnsi="Arial" w:cs="Arial"/>
          <w:sz w:val="24"/>
        </w:rPr>
        <w:t xml:space="preserve">Optical Fibre Cables imported </w:t>
      </w:r>
      <w:r w:rsidR="00300A08" w:rsidRPr="00300A08">
        <w:rPr>
          <w:rFonts w:ascii="Arial" w:hAnsi="Arial" w:cs="Arial" w:hint="eastAsia"/>
          <w:sz w:val="24"/>
        </w:rPr>
        <w:t>from China, it</w:t>
      </w:r>
      <w:r w:rsidR="00300A08" w:rsidRPr="00300A08">
        <w:rPr>
          <w:rFonts w:ascii="Arial" w:hAnsi="Arial" w:cs="Arial"/>
          <w:sz w:val="24"/>
        </w:rPr>
        <w:t>’</w:t>
      </w:r>
      <w:r w:rsidR="00300A08" w:rsidRPr="00300A08">
        <w:rPr>
          <w:rFonts w:ascii="Arial" w:hAnsi="Arial" w:cs="Arial" w:hint="eastAsia"/>
          <w:sz w:val="24"/>
        </w:rPr>
        <w:t xml:space="preserve">s the TRA found that </w:t>
      </w:r>
      <w:r w:rsidR="00300A08" w:rsidRPr="00300A08">
        <w:rPr>
          <w:rFonts w:ascii="Arial" w:hAnsi="Arial" w:cs="Arial"/>
          <w:sz w:val="24"/>
        </w:rPr>
        <w:t>“</w:t>
      </w:r>
      <w:r w:rsidR="00300A08" w:rsidRPr="001F79D9">
        <w:rPr>
          <w:rFonts w:ascii="Arial" w:hAnsi="Arial" w:cs="Arial" w:hint="eastAsia"/>
          <w:i/>
          <w:iCs/>
          <w:sz w:val="24"/>
        </w:rPr>
        <w:t>A</w:t>
      </w:r>
      <w:r w:rsidR="00300A08" w:rsidRPr="001F79D9">
        <w:rPr>
          <w:rFonts w:ascii="Arial" w:hAnsi="Arial" w:cs="Arial"/>
          <w:i/>
          <w:iCs/>
          <w:sz w:val="24"/>
        </w:rPr>
        <w:t>rticle 30 of the enterprise income tax law does not</w:t>
      </w:r>
      <w:r w:rsidR="00300A08" w:rsidRPr="001F79D9">
        <w:rPr>
          <w:rFonts w:ascii="Arial" w:hAnsi="Arial" w:cs="Arial" w:hint="eastAsia"/>
          <w:i/>
          <w:iCs/>
          <w:sz w:val="24"/>
        </w:rPr>
        <w:t xml:space="preserve"> </w:t>
      </w:r>
      <w:r w:rsidR="00300A08" w:rsidRPr="001F79D9">
        <w:rPr>
          <w:rFonts w:ascii="Arial" w:hAnsi="Arial" w:cs="Arial"/>
          <w:i/>
          <w:iCs/>
          <w:sz w:val="24"/>
        </w:rPr>
        <w:t xml:space="preserve">place specific restrictions on the </w:t>
      </w:r>
      <w:r w:rsidR="00300A08" w:rsidRPr="001F79D9">
        <w:rPr>
          <w:rFonts w:ascii="Arial" w:hAnsi="Arial" w:cs="Arial"/>
          <w:i/>
          <w:iCs/>
          <w:sz w:val="24"/>
        </w:rPr>
        <w:lastRenderedPageBreak/>
        <w:t>industries that are eligible for this particular tax</w:t>
      </w:r>
      <w:r w:rsidR="00300A08" w:rsidRPr="001F79D9">
        <w:rPr>
          <w:rFonts w:ascii="Arial" w:hAnsi="Arial" w:cs="Arial" w:hint="eastAsia"/>
          <w:i/>
          <w:iCs/>
          <w:sz w:val="24"/>
        </w:rPr>
        <w:t xml:space="preserve"> </w:t>
      </w:r>
      <w:r w:rsidR="00300A08" w:rsidRPr="001F79D9">
        <w:rPr>
          <w:rFonts w:ascii="Arial" w:hAnsi="Arial" w:cs="Arial"/>
          <w:i/>
          <w:iCs/>
          <w:sz w:val="24"/>
        </w:rPr>
        <w:t>offsetting programme</w:t>
      </w:r>
      <w:r w:rsidR="00300A08" w:rsidRPr="00300A08">
        <w:rPr>
          <w:rFonts w:ascii="Arial" w:hAnsi="Arial" w:cs="Arial"/>
          <w:sz w:val="24"/>
        </w:rPr>
        <w:t>”</w:t>
      </w:r>
      <w:r w:rsidR="001F79D9">
        <w:rPr>
          <w:rStyle w:val="ab"/>
          <w:rFonts w:ascii="Arial" w:hAnsi="Arial" w:cs="Arial"/>
          <w:sz w:val="24"/>
        </w:rPr>
        <w:footnoteReference w:id="22"/>
      </w:r>
      <w:r w:rsidR="004575A1">
        <w:rPr>
          <w:rFonts w:ascii="Arial" w:hAnsi="Arial" w:cs="Arial" w:hint="eastAsia"/>
          <w:sz w:val="24"/>
        </w:rPr>
        <w:t xml:space="preserve"> and </w:t>
      </w:r>
      <w:r w:rsidR="001F79D9">
        <w:rPr>
          <w:rFonts w:ascii="Arial" w:hAnsi="Arial" w:cs="Arial"/>
          <w:sz w:val="24"/>
        </w:rPr>
        <w:t>“</w:t>
      </w:r>
      <w:r w:rsidR="001F79D9" w:rsidRPr="001F79D9">
        <w:rPr>
          <w:rFonts w:ascii="Arial" w:hAnsi="Arial" w:cs="Arial" w:hint="eastAsia"/>
          <w:i/>
          <w:iCs/>
          <w:sz w:val="24"/>
        </w:rPr>
        <w:t>t</w:t>
      </w:r>
      <w:r w:rsidR="001F79D9" w:rsidRPr="001F79D9">
        <w:rPr>
          <w:rFonts w:ascii="Arial" w:hAnsi="Arial" w:cs="Arial"/>
          <w:i/>
          <w:iCs/>
          <w:sz w:val="24"/>
        </w:rPr>
        <w:t>herefore,</w:t>
      </w:r>
      <w:r w:rsidR="001F79D9" w:rsidRPr="001F79D9">
        <w:rPr>
          <w:rFonts w:ascii="Arial" w:hAnsi="Arial" w:cs="Arial" w:hint="eastAsia"/>
          <w:i/>
          <w:iCs/>
          <w:sz w:val="24"/>
        </w:rPr>
        <w:t xml:space="preserve"> [TRA]</w:t>
      </w:r>
      <w:r w:rsidR="001F79D9" w:rsidRPr="001F79D9">
        <w:rPr>
          <w:rFonts w:ascii="Arial" w:hAnsi="Arial" w:cs="Arial"/>
          <w:i/>
          <w:iCs/>
          <w:sz w:val="24"/>
        </w:rPr>
        <w:t xml:space="preserve"> did not identify any information that indicated the programme</w:t>
      </w:r>
      <w:r w:rsidR="001F79D9" w:rsidRPr="001F79D9">
        <w:rPr>
          <w:rFonts w:ascii="Arial" w:hAnsi="Arial" w:cs="Arial"/>
          <w:sz w:val="24"/>
        </w:rPr>
        <w:t xml:space="preserve"> </w:t>
      </w:r>
      <w:r w:rsidR="001F79D9" w:rsidRPr="001F79D9">
        <w:rPr>
          <w:rFonts w:ascii="Arial" w:hAnsi="Arial" w:cs="Arial"/>
          <w:i/>
          <w:iCs/>
          <w:sz w:val="24"/>
        </w:rPr>
        <w:t>is explicitly</w:t>
      </w:r>
      <w:r w:rsidR="001F79D9" w:rsidRPr="001F79D9">
        <w:rPr>
          <w:rFonts w:ascii="Arial" w:hAnsi="Arial" w:cs="Arial" w:hint="eastAsia"/>
          <w:i/>
          <w:iCs/>
          <w:sz w:val="24"/>
        </w:rPr>
        <w:t xml:space="preserve"> </w:t>
      </w:r>
      <w:r w:rsidR="001F79D9" w:rsidRPr="001F79D9">
        <w:rPr>
          <w:rFonts w:ascii="Arial" w:hAnsi="Arial" w:cs="Arial"/>
          <w:i/>
          <w:iCs/>
          <w:sz w:val="24"/>
        </w:rPr>
        <w:t>specific (regulation 22(2(a) of the Regulations), or that it is in fact applied in a</w:t>
      </w:r>
      <w:r w:rsidR="001F79D9" w:rsidRPr="001F79D9">
        <w:rPr>
          <w:rFonts w:ascii="Arial" w:hAnsi="Arial" w:cs="Arial" w:hint="eastAsia"/>
          <w:i/>
          <w:iCs/>
          <w:sz w:val="24"/>
        </w:rPr>
        <w:t xml:space="preserve"> </w:t>
      </w:r>
      <w:r w:rsidR="001F79D9" w:rsidRPr="001F79D9">
        <w:rPr>
          <w:rFonts w:ascii="Arial" w:hAnsi="Arial" w:cs="Arial"/>
          <w:i/>
          <w:iCs/>
          <w:sz w:val="24"/>
        </w:rPr>
        <w:t>specific manner (regulation 22(2)(b) of the Regulations)</w:t>
      </w:r>
      <w:r w:rsidR="001F79D9">
        <w:rPr>
          <w:rFonts w:ascii="Arial" w:hAnsi="Arial" w:cs="Arial"/>
          <w:sz w:val="24"/>
        </w:rPr>
        <w:t>”</w:t>
      </w:r>
      <w:r w:rsidR="001F79D9">
        <w:rPr>
          <w:rFonts w:ascii="Arial" w:hAnsi="Arial" w:cs="Arial" w:hint="eastAsia"/>
          <w:sz w:val="24"/>
        </w:rPr>
        <w:t>.</w:t>
      </w:r>
    </w:p>
    <w:p w14:paraId="336053C6" w14:textId="77777777" w:rsidR="001F79D9" w:rsidRPr="001F79D9" w:rsidRDefault="001F79D9" w:rsidP="001F79D9">
      <w:pPr>
        <w:pStyle w:val="a9"/>
        <w:rPr>
          <w:rFonts w:ascii="Arial" w:hAnsi="Arial" w:cs="Arial"/>
          <w:sz w:val="24"/>
        </w:rPr>
      </w:pPr>
    </w:p>
    <w:p w14:paraId="3B16C48B" w14:textId="2147FC99" w:rsidR="00376F25" w:rsidRDefault="009041FF" w:rsidP="00376F25">
      <w:pPr>
        <w:pStyle w:val="3"/>
        <w:spacing w:before="0"/>
        <w:rPr>
          <w:rFonts w:ascii="Arial" w:eastAsiaTheme="minorEastAsia" w:hAnsi="Arial" w:cs="Arial"/>
          <w:b/>
          <w:bCs/>
          <w:color w:val="auto"/>
        </w:rPr>
      </w:pPr>
      <w:bookmarkStart w:id="10" w:name="_Toc161355122"/>
      <w:r>
        <w:rPr>
          <w:rFonts w:ascii="Arial" w:eastAsiaTheme="minorEastAsia" w:hAnsi="Arial" w:cs="Arial" w:hint="eastAsia"/>
          <w:b/>
          <w:bCs/>
          <w:color w:val="auto"/>
        </w:rPr>
        <w:t>Q</w:t>
      </w:r>
      <w:r w:rsidRPr="00376F25">
        <w:rPr>
          <w:rFonts w:ascii="Arial" w:eastAsiaTheme="minorEastAsia" w:hAnsi="Arial" w:cs="Arial"/>
          <w:b/>
          <w:bCs/>
          <w:color w:val="auto"/>
        </w:rPr>
        <w:t xml:space="preserve">ualified </w:t>
      </w:r>
      <w:r w:rsidR="00376F25" w:rsidRPr="00376F25">
        <w:rPr>
          <w:rFonts w:ascii="Arial" w:eastAsiaTheme="minorEastAsia" w:hAnsi="Arial" w:cs="Arial"/>
          <w:b/>
          <w:bCs/>
          <w:color w:val="auto"/>
        </w:rPr>
        <w:t>Dividend exemption between resident enterprises to avoid double taxation</w:t>
      </w:r>
      <w:bookmarkEnd w:id="10"/>
    </w:p>
    <w:p w14:paraId="34BFAE7D" w14:textId="77777777" w:rsidR="00DF2611" w:rsidRPr="009041FF" w:rsidRDefault="00DF2611" w:rsidP="00DF2611">
      <w:pPr>
        <w:pStyle w:val="a9"/>
        <w:autoSpaceDE w:val="0"/>
        <w:autoSpaceDN w:val="0"/>
        <w:adjustRightInd w:val="0"/>
        <w:contextualSpacing w:val="0"/>
        <w:rPr>
          <w:rFonts w:ascii="Arial" w:hAnsi="Arial" w:cs="Arial"/>
          <w:sz w:val="24"/>
          <w:szCs w:val="24"/>
        </w:rPr>
      </w:pPr>
    </w:p>
    <w:p w14:paraId="1134C764" w14:textId="096502FE" w:rsidR="009B348E" w:rsidRPr="00131C50" w:rsidRDefault="009B348E" w:rsidP="001F79D9">
      <w:pPr>
        <w:pStyle w:val="a9"/>
        <w:numPr>
          <w:ilvl w:val="0"/>
          <w:numId w:val="39"/>
        </w:numPr>
        <w:autoSpaceDE w:val="0"/>
        <w:autoSpaceDN w:val="0"/>
        <w:adjustRightInd w:val="0"/>
        <w:ind w:hanging="720"/>
        <w:contextualSpacing w:val="0"/>
        <w:rPr>
          <w:rFonts w:ascii="Arial" w:hAnsi="Arial" w:cs="Arial"/>
          <w:sz w:val="24"/>
          <w:szCs w:val="24"/>
        </w:rPr>
      </w:pPr>
      <w:r w:rsidRPr="009B348E">
        <w:rPr>
          <w:rFonts w:ascii="Arial" w:hAnsi="Arial" w:cs="Arial"/>
          <w:sz w:val="24"/>
          <w:szCs w:val="24"/>
        </w:rPr>
        <w:t xml:space="preserve">The Applicant claims that the </w:t>
      </w:r>
      <w:r w:rsidR="009041FF">
        <w:rPr>
          <w:rFonts w:ascii="Arial" w:hAnsi="Arial" w:cs="Arial" w:hint="eastAsia"/>
          <w:sz w:val="24"/>
          <w:szCs w:val="24"/>
        </w:rPr>
        <w:t xml:space="preserve">qualified </w:t>
      </w:r>
      <w:r w:rsidRPr="009B348E">
        <w:rPr>
          <w:rFonts w:ascii="Arial" w:hAnsi="Arial" w:cs="Arial"/>
          <w:sz w:val="24"/>
          <w:szCs w:val="24"/>
        </w:rPr>
        <w:t>dividend exemption between resident enterprises, represents a countervailable subsidy</w:t>
      </w:r>
      <w:r>
        <w:rPr>
          <w:rFonts w:ascii="Arial" w:hAnsi="Arial" w:cs="Arial" w:hint="eastAsia"/>
          <w:sz w:val="24"/>
          <w:szCs w:val="24"/>
        </w:rPr>
        <w:t>.</w:t>
      </w:r>
    </w:p>
    <w:p w14:paraId="30D1F6D5" w14:textId="77777777" w:rsidR="009B348E" w:rsidRPr="00131C50" w:rsidRDefault="009B348E" w:rsidP="009B348E">
      <w:pPr>
        <w:pStyle w:val="a9"/>
        <w:autoSpaceDE w:val="0"/>
        <w:autoSpaceDN w:val="0"/>
        <w:adjustRightInd w:val="0"/>
        <w:ind w:hanging="720"/>
        <w:contextualSpacing w:val="0"/>
        <w:rPr>
          <w:rFonts w:ascii="Arial" w:hAnsi="Arial" w:cs="Arial"/>
          <w:sz w:val="24"/>
          <w:szCs w:val="24"/>
        </w:rPr>
      </w:pPr>
    </w:p>
    <w:p w14:paraId="073576E2" w14:textId="77777777" w:rsidR="009B348E" w:rsidRPr="00131C50" w:rsidRDefault="009B348E" w:rsidP="001F79D9">
      <w:pPr>
        <w:pStyle w:val="a9"/>
        <w:numPr>
          <w:ilvl w:val="0"/>
          <w:numId w:val="39"/>
        </w:numPr>
        <w:autoSpaceDE w:val="0"/>
        <w:autoSpaceDN w:val="0"/>
        <w:adjustRightInd w:val="0"/>
        <w:ind w:hanging="720"/>
        <w:contextualSpacing w:val="0"/>
        <w:rPr>
          <w:rFonts w:ascii="Arial" w:hAnsi="Arial" w:cs="Arial"/>
          <w:sz w:val="24"/>
          <w:szCs w:val="24"/>
        </w:rPr>
      </w:pPr>
      <w:r w:rsidRPr="00131C50">
        <w:rPr>
          <w:rFonts w:ascii="Arial" w:hAnsi="Arial" w:cs="Arial"/>
          <w:sz w:val="24"/>
          <w:szCs w:val="24"/>
        </w:rPr>
        <w:t xml:space="preserve">The GOC however underlines that there is no financial contribution in terms of revenue foregone as regards this alleged program because pursuant to Article 10(1) of the Enterprise Income Tax Law of China, income from equity investments paid to investors such as dividends and bonuses shall not be deducted when calculating the taxable income, which means that dividends and bonuses paid to investors are included in the subsidiary’s taxable income before being paid to the investors and the subsidiary has already paid the enterprise income tax generated from such income. Therefore, </w:t>
      </w:r>
      <w:r w:rsidRPr="00131C50">
        <w:rPr>
          <w:rFonts w:ascii="Arial" w:hAnsi="Arial" w:cs="Arial"/>
          <w:i/>
          <w:iCs/>
          <w:sz w:val="24"/>
          <w:szCs w:val="24"/>
        </w:rPr>
        <w:t>to avoid double taxation</w:t>
      </w:r>
      <w:r w:rsidRPr="00131C50">
        <w:rPr>
          <w:rFonts w:ascii="Arial" w:hAnsi="Arial" w:cs="Arial"/>
          <w:sz w:val="24"/>
          <w:szCs w:val="24"/>
        </w:rPr>
        <w:t xml:space="preserve">, when the dividends and bonuses are paid to a resident enterprise that is an investor, such dividends and bonuses are not subject to corporate income tax for a second time. Consequently, the tax exemption in question does not constitute government revenue foregone. </w:t>
      </w:r>
    </w:p>
    <w:p w14:paraId="291E7352" w14:textId="77777777" w:rsidR="009B348E" w:rsidRPr="00131C50" w:rsidRDefault="009B348E" w:rsidP="009B348E">
      <w:pPr>
        <w:pStyle w:val="a9"/>
        <w:ind w:hanging="720"/>
        <w:rPr>
          <w:rFonts w:ascii="Arial" w:hAnsi="Arial" w:cs="Arial"/>
          <w:b/>
          <w:bCs/>
          <w:sz w:val="24"/>
          <w:szCs w:val="24"/>
        </w:rPr>
      </w:pPr>
    </w:p>
    <w:p w14:paraId="15839D45" w14:textId="5D5DFED4" w:rsidR="009B348E" w:rsidRPr="00131C50" w:rsidRDefault="00B9791B" w:rsidP="001F79D9">
      <w:pPr>
        <w:pStyle w:val="a9"/>
        <w:numPr>
          <w:ilvl w:val="0"/>
          <w:numId w:val="39"/>
        </w:numPr>
        <w:autoSpaceDE w:val="0"/>
        <w:autoSpaceDN w:val="0"/>
        <w:adjustRightInd w:val="0"/>
        <w:ind w:hanging="720"/>
        <w:contextualSpacing w:val="0"/>
        <w:rPr>
          <w:rFonts w:ascii="Arial" w:hAnsi="Arial" w:cs="Arial"/>
          <w:sz w:val="24"/>
          <w:szCs w:val="24"/>
        </w:rPr>
      </w:pPr>
      <w:r>
        <w:rPr>
          <w:rFonts w:ascii="Arial" w:hAnsi="Arial" w:cs="Arial" w:hint="eastAsia"/>
          <w:sz w:val="24"/>
          <w:szCs w:val="24"/>
        </w:rPr>
        <w:t>Second</w:t>
      </w:r>
      <w:r w:rsidR="009B348E" w:rsidRPr="00131C50">
        <w:rPr>
          <w:rFonts w:ascii="Arial" w:hAnsi="Arial" w:cs="Arial"/>
          <w:sz w:val="24"/>
          <w:szCs w:val="24"/>
        </w:rPr>
        <w:t xml:space="preserve">, the alleged program is not specific as the criteria for the eligibility to the program are objective and horizontally apply to all resident enterprises irrespective of the industries/products or geographical locations involved. All resident companies in China are qualified to invest in other resident companies and are </w:t>
      </w:r>
      <w:r w:rsidR="009B348E" w:rsidRPr="00131C50">
        <w:rPr>
          <w:rFonts w:ascii="Arial" w:hAnsi="Arial" w:cs="Arial"/>
          <w:i/>
          <w:iCs/>
          <w:sz w:val="24"/>
          <w:szCs w:val="24"/>
        </w:rPr>
        <w:t xml:space="preserve">exempt from double taxation </w:t>
      </w:r>
      <w:r w:rsidR="009B348E" w:rsidRPr="00131C50">
        <w:rPr>
          <w:rFonts w:ascii="Arial" w:hAnsi="Arial" w:cs="Arial"/>
          <w:sz w:val="24"/>
          <w:szCs w:val="24"/>
        </w:rPr>
        <w:t xml:space="preserve">by virtue of this exemption. Therefore, the </w:t>
      </w:r>
      <w:r w:rsidR="009B348E" w:rsidRPr="00131C50">
        <w:rPr>
          <w:rFonts w:ascii="Arial" w:hAnsi="Arial" w:cs="Arial"/>
          <w:sz w:val="24"/>
          <w:szCs w:val="24"/>
        </w:rPr>
        <w:lastRenderedPageBreak/>
        <w:t>program does not meet the “specificity” requirement within the meaning of Article 2.1 of the SCM Agreement.</w:t>
      </w:r>
    </w:p>
    <w:p w14:paraId="7535200D" w14:textId="77777777" w:rsidR="009B348E" w:rsidRPr="004E151E" w:rsidRDefault="009B348E" w:rsidP="004E151E">
      <w:pPr>
        <w:pStyle w:val="a9"/>
        <w:autoSpaceDE w:val="0"/>
        <w:autoSpaceDN w:val="0"/>
        <w:adjustRightInd w:val="0"/>
        <w:contextualSpacing w:val="0"/>
        <w:rPr>
          <w:rFonts w:ascii="Arial" w:hAnsi="Arial" w:cs="Arial"/>
          <w:sz w:val="24"/>
          <w:szCs w:val="24"/>
        </w:rPr>
      </w:pPr>
    </w:p>
    <w:p w14:paraId="5BE550A0" w14:textId="121B9793" w:rsidR="00965F80" w:rsidRDefault="009B348E" w:rsidP="001F79D9">
      <w:pPr>
        <w:pStyle w:val="a9"/>
        <w:numPr>
          <w:ilvl w:val="0"/>
          <w:numId w:val="39"/>
        </w:numPr>
        <w:autoSpaceDE w:val="0"/>
        <w:autoSpaceDN w:val="0"/>
        <w:adjustRightInd w:val="0"/>
        <w:ind w:hanging="720"/>
        <w:contextualSpacing w:val="0"/>
        <w:rPr>
          <w:rFonts w:ascii="Arial" w:hAnsi="Arial" w:cs="Arial"/>
          <w:sz w:val="24"/>
          <w:szCs w:val="24"/>
        </w:rPr>
      </w:pPr>
      <w:r w:rsidRPr="00131C50">
        <w:rPr>
          <w:rFonts w:ascii="Arial" w:hAnsi="Arial" w:cs="Arial"/>
          <w:sz w:val="24"/>
          <w:szCs w:val="24"/>
        </w:rPr>
        <w:t>In sum, the investigation into this alleged program is WTO-inconsistent.</w:t>
      </w:r>
    </w:p>
    <w:p w14:paraId="320E42C9" w14:textId="77777777" w:rsidR="00DF2611" w:rsidRPr="00DF2611" w:rsidRDefault="00DF2611" w:rsidP="00DF2611">
      <w:pPr>
        <w:pStyle w:val="a9"/>
        <w:rPr>
          <w:rFonts w:ascii="Arial" w:hAnsi="Arial" w:cs="Arial"/>
          <w:sz w:val="24"/>
          <w:szCs w:val="24"/>
        </w:rPr>
      </w:pPr>
    </w:p>
    <w:p w14:paraId="239B843E" w14:textId="43096567" w:rsidR="00B9791B" w:rsidRPr="002402C1" w:rsidRDefault="002402C1" w:rsidP="00FD2A10">
      <w:pPr>
        <w:pStyle w:val="3"/>
        <w:rPr>
          <w:rFonts w:ascii="Arial" w:eastAsiaTheme="minorEastAsia" w:hAnsi="Arial" w:cs="Arial"/>
          <w:b/>
          <w:bCs/>
          <w:color w:val="auto"/>
        </w:rPr>
      </w:pPr>
      <w:bookmarkStart w:id="11" w:name="_Toc161355123"/>
      <w:r w:rsidRPr="002402C1">
        <w:rPr>
          <w:rFonts w:ascii="Arial" w:eastAsiaTheme="minorEastAsia" w:hAnsi="Arial" w:cs="Arial"/>
          <w:b/>
          <w:bCs/>
          <w:color w:val="auto"/>
        </w:rPr>
        <w:t>Synergistic Utilisation Reduction</w:t>
      </w:r>
      <w:bookmarkEnd w:id="11"/>
    </w:p>
    <w:p w14:paraId="14C8FFB7" w14:textId="77777777" w:rsidR="004E151E" w:rsidRDefault="004E151E" w:rsidP="004E151E">
      <w:pPr>
        <w:autoSpaceDE w:val="0"/>
        <w:autoSpaceDN w:val="0"/>
        <w:adjustRightInd w:val="0"/>
        <w:rPr>
          <w:rFonts w:ascii="Arial" w:hAnsi="Arial" w:cs="Arial"/>
          <w:sz w:val="24"/>
          <w:szCs w:val="24"/>
        </w:rPr>
      </w:pPr>
    </w:p>
    <w:p w14:paraId="2534204B" w14:textId="1368C028" w:rsidR="002402C1" w:rsidRDefault="002402C1" w:rsidP="001F79D9">
      <w:pPr>
        <w:pStyle w:val="a9"/>
        <w:numPr>
          <w:ilvl w:val="0"/>
          <w:numId w:val="39"/>
        </w:numPr>
        <w:autoSpaceDE w:val="0"/>
        <w:autoSpaceDN w:val="0"/>
        <w:adjustRightInd w:val="0"/>
        <w:ind w:hanging="720"/>
        <w:contextualSpacing w:val="0"/>
        <w:rPr>
          <w:rFonts w:ascii="Arial" w:hAnsi="Arial" w:cs="Arial"/>
          <w:sz w:val="24"/>
          <w:szCs w:val="24"/>
        </w:rPr>
      </w:pPr>
      <w:r w:rsidRPr="002402C1">
        <w:rPr>
          <w:rFonts w:ascii="Arial" w:hAnsi="Arial" w:cs="Arial"/>
          <w:sz w:val="24"/>
          <w:szCs w:val="24"/>
        </w:rPr>
        <w:t>The Applicant claims that under the Synergistic Utilisation Reduction,</w:t>
      </w:r>
      <w:r w:rsidRPr="002402C1">
        <w:rPr>
          <w:rFonts w:ascii="Arial" w:hAnsi="Arial" w:cs="Arial" w:hint="eastAsia"/>
          <w:sz w:val="24"/>
          <w:szCs w:val="24"/>
        </w:rPr>
        <w:t xml:space="preserve"> </w:t>
      </w:r>
      <w:r w:rsidRPr="002402C1">
        <w:rPr>
          <w:rFonts w:ascii="Arial" w:hAnsi="Arial" w:cs="Arial"/>
          <w:sz w:val="24"/>
          <w:szCs w:val="24"/>
        </w:rPr>
        <w:t>companies can deduct from their EIT-taxable income 10% of the income from</w:t>
      </w:r>
      <w:r w:rsidRPr="002402C1">
        <w:rPr>
          <w:rFonts w:ascii="Arial" w:hAnsi="Arial" w:cs="Arial" w:hint="eastAsia"/>
          <w:sz w:val="24"/>
          <w:szCs w:val="24"/>
        </w:rPr>
        <w:t xml:space="preserve"> </w:t>
      </w:r>
      <w:r w:rsidRPr="002402C1">
        <w:rPr>
          <w:rFonts w:ascii="Arial" w:hAnsi="Arial" w:cs="Arial"/>
          <w:sz w:val="24"/>
          <w:szCs w:val="24"/>
        </w:rPr>
        <w:t>manufacturing through a comprehensive use of resources according to the</w:t>
      </w:r>
      <w:r w:rsidRPr="002402C1">
        <w:rPr>
          <w:rFonts w:ascii="Arial" w:hAnsi="Arial" w:cs="Arial" w:hint="eastAsia"/>
          <w:sz w:val="24"/>
          <w:szCs w:val="24"/>
        </w:rPr>
        <w:t xml:space="preserve"> </w:t>
      </w:r>
      <w:r w:rsidRPr="002402C1">
        <w:rPr>
          <w:rFonts w:ascii="Arial" w:hAnsi="Arial" w:cs="Arial"/>
          <w:sz w:val="24"/>
          <w:szCs w:val="24"/>
        </w:rPr>
        <w:t>standards specified in the Catalogue of Enterprise Income Tax Preference for</w:t>
      </w:r>
      <w:r w:rsidRPr="002402C1">
        <w:rPr>
          <w:rFonts w:ascii="Arial" w:hAnsi="Arial" w:cs="Arial" w:hint="eastAsia"/>
          <w:sz w:val="24"/>
          <w:szCs w:val="24"/>
        </w:rPr>
        <w:t xml:space="preserve"> </w:t>
      </w:r>
      <w:r w:rsidRPr="002402C1">
        <w:rPr>
          <w:rFonts w:ascii="Arial" w:hAnsi="Arial" w:cs="Arial"/>
          <w:sz w:val="24"/>
          <w:szCs w:val="24"/>
        </w:rPr>
        <w:t>Synergistic Utilisation, represents a countervailable subsidy</w:t>
      </w:r>
      <w:r w:rsidRPr="002402C1">
        <w:rPr>
          <w:rFonts w:ascii="Arial" w:hAnsi="Arial" w:cs="Arial" w:hint="eastAsia"/>
          <w:sz w:val="24"/>
          <w:szCs w:val="24"/>
        </w:rPr>
        <w:t>.</w:t>
      </w:r>
    </w:p>
    <w:p w14:paraId="1B8690BD" w14:textId="77777777" w:rsidR="002402C1" w:rsidRDefault="002402C1" w:rsidP="002402C1">
      <w:pPr>
        <w:pStyle w:val="a9"/>
        <w:autoSpaceDE w:val="0"/>
        <w:autoSpaceDN w:val="0"/>
        <w:adjustRightInd w:val="0"/>
        <w:contextualSpacing w:val="0"/>
        <w:rPr>
          <w:rFonts w:ascii="Arial" w:hAnsi="Arial" w:cs="Arial"/>
          <w:sz w:val="24"/>
          <w:szCs w:val="24"/>
        </w:rPr>
      </w:pPr>
    </w:p>
    <w:p w14:paraId="668B2EE0" w14:textId="77777777" w:rsidR="00AB0DE5" w:rsidRPr="00131C50" w:rsidRDefault="00AB0DE5" w:rsidP="001F79D9">
      <w:pPr>
        <w:pStyle w:val="a9"/>
        <w:numPr>
          <w:ilvl w:val="0"/>
          <w:numId w:val="39"/>
        </w:numPr>
        <w:autoSpaceDE w:val="0"/>
        <w:autoSpaceDN w:val="0"/>
        <w:adjustRightInd w:val="0"/>
        <w:ind w:hanging="720"/>
        <w:contextualSpacing w:val="0"/>
        <w:rPr>
          <w:rFonts w:ascii="Arial" w:hAnsi="Arial" w:cs="Arial"/>
          <w:i/>
          <w:iCs/>
          <w:sz w:val="24"/>
          <w:szCs w:val="24"/>
        </w:rPr>
      </w:pPr>
      <w:r w:rsidRPr="00131C50">
        <w:rPr>
          <w:rFonts w:ascii="Arial" w:hAnsi="Arial" w:cs="Arial"/>
          <w:bCs/>
          <w:color w:val="000000"/>
          <w:sz w:val="24"/>
          <w:szCs w:val="24"/>
        </w:rPr>
        <w:t xml:space="preserve">More specifically, the GOC recalls that the Appellate Body in </w:t>
      </w:r>
      <w:r w:rsidRPr="00131C50">
        <w:rPr>
          <w:rFonts w:ascii="Arial" w:hAnsi="Arial" w:cs="Arial"/>
          <w:bCs/>
          <w:i/>
          <w:iCs/>
          <w:color w:val="000000"/>
          <w:sz w:val="24"/>
          <w:szCs w:val="24"/>
        </w:rPr>
        <w:t>US –Countervailing Duties (China)</w:t>
      </w:r>
      <w:r w:rsidRPr="00131C50">
        <w:rPr>
          <w:rFonts w:ascii="Arial" w:hAnsi="Arial" w:cs="Arial"/>
          <w:bCs/>
          <w:color w:val="000000"/>
          <w:sz w:val="24"/>
          <w:szCs w:val="24"/>
        </w:rPr>
        <w:t xml:space="preserve"> set out a specific order of analysis to be complied with for asserting and establishing </w:t>
      </w:r>
      <w:r w:rsidRPr="00131C50">
        <w:rPr>
          <w:rFonts w:ascii="Arial" w:hAnsi="Arial" w:cs="Arial"/>
          <w:bCs/>
          <w:i/>
          <w:iCs/>
          <w:color w:val="000000"/>
          <w:sz w:val="24"/>
          <w:szCs w:val="24"/>
        </w:rPr>
        <w:t>de jure</w:t>
      </w:r>
      <w:r w:rsidRPr="00131C50">
        <w:rPr>
          <w:rFonts w:ascii="Arial" w:hAnsi="Arial" w:cs="Arial"/>
          <w:bCs/>
          <w:color w:val="000000"/>
          <w:sz w:val="24"/>
          <w:szCs w:val="24"/>
        </w:rPr>
        <w:t xml:space="preserve"> specificity:</w:t>
      </w:r>
    </w:p>
    <w:p w14:paraId="04923E97" w14:textId="77777777" w:rsidR="00AB0DE5" w:rsidRPr="00131C50" w:rsidRDefault="00AB0DE5" w:rsidP="00AB0DE5">
      <w:pPr>
        <w:pStyle w:val="a9"/>
        <w:autoSpaceDE w:val="0"/>
        <w:autoSpaceDN w:val="0"/>
        <w:adjustRightInd w:val="0"/>
        <w:ind w:left="1440"/>
        <w:contextualSpacing w:val="0"/>
        <w:rPr>
          <w:rFonts w:ascii="Arial" w:hAnsi="Arial" w:cs="Arial"/>
          <w:sz w:val="24"/>
          <w:szCs w:val="24"/>
        </w:rPr>
      </w:pPr>
    </w:p>
    <w:p w14:paraId="7977D9F4" w14:textId="77777777" w:rsidR="00AB0DE5" w:rsidRPr="00131C50" w:rsidRDefault="00AB0DE5" w:rsidP="00AB0DE5">
      <w:pPr>
        <w:pStyle w:val="a9"/>
        <w:autoSpaceDE w:val="0"/>
        <w:autoSpaceDN w:val="0"/>
        <w:adjustRightInd w:val="0"/>
        <w:ind w:left="1440"/>
        <w:contextualSpacing w:val="0"/>
        <w:rPr>
          <w:rFonts w:ascii="Arial" w:hAnsi="Arial" w:cs="Arial"/>
          <w:sz w:val="24"/>
          <w:szCs w:val="24"/>
        </w:rPr>
      </w:pPr>
      <w:r w:rsidRPr="00131C50">
        <w:rPr>
          <w:rFonts w:ascii="Arial" w:hAnsi="Arial" w:cs="Arial"/>
          <w:sz w:val="24"/>
          <w:szCs w:val="24"/>
        </w:rPr>
        <w:t>“</w:t>
      </w:r>
      <w:r w:rsidRPr="00131C50">
        <w:rPr>
          <w:rFonts w:ascii="Arial" w:hAnsi="Arial" w:cs="Arial"/>
          <w:i/>
          <w:iCs/>
          <w:sz w:val="24"/>
          <w:szCs w:val="24"/>
        </w:rPr>
        <w:t>In the context of determining whether a subsidy is de jure specific, the language in subparagraphs (a) and (b) directs an investigating authority to scrutinize any explicit limitation of access to a subsidy or look for the existence of objective conditions or criteria governing eligibility for a subsidy. In cases where an examination of the nature and content of the challenged measure indicates that access to a subsidy is explicitly limited to certain enterprises or, alternatively, if there are “criteria or conditions” governing the eligibility for a subsidy that are spelled out in law, regulation, or other official document, an investigating authority will normally begin by examining this evidence in the light of subparagraphs (a) and (b) in order to determine whether the subsidy is de jure specific</w:t>
      </w:r>
      <w:r w:rsidRPr="00131C50">
        <w:rPr>
          <w:rFonts w:ascii="Arial" w:hAnsi="Arial" w:cs="Arial"/>
          <w:sz w:val="24"/>
          <w:szCs w:val="24"/>
        </w:rPr>
        <w:t>.”</w:t>
      </w:r>
      <w:r w:rsidRPr="00131C50">
        <w:rPr>
          <w:rStyle w:val="ab"/>
          <w:rFonts w:ascii="Arial" w:hAnsi="Arial" w:cs="Arial"/>
          <w:sz w:val="24"/>
          <w:szCs w:val="24"/>
        </w:rPr>
        <w:footnoteReference w:id="23"/>
      </w:r>
    </w:p>
    <w:p w14:paraId="05F16134" w14:textId="77777777" w:rsidR="00AB0DE5" w:rsidRPr="00131C50" w:rsidRDefault="00AB0DE5" w:rsidP="00AB0DE5">
      <w:pPr>
        <w:pStyle w:val="a9"/>
        <w:rPr>
          <w:rFonts w:ascii="Arial" w:hAnsi="Arial" w:cs="Arial"/>
          <w:bCs/>
          <w:color w:val="000000"/>
          <w:sz w:val="24"/>
          <w:szCs w:val="24"/>
        </w:rPr>
      </w:pPr>
    </w:p>
    <w:p w14:paraId="182AA93D" w14:textId="77777777" w:rsidR="00AB0DE5" w:rsidRPr="00131C50" w:rsidRDefault="00AB0DE5" w:rsidP="001F79D9">
      <w:pPr>
        <w:pStyle w:val="a9"/>
        <w:numPr>
          <w:ilvl w:val="0"/>
          <w:numId w:val="39"/>
        </w:numPr>
        <w:autoSpaceDE w:val="0"/>
        <w:autoSpaceDN w:val="0"/>
        <w:adjustRightInd w:val="0"/>
        <w:ind w:hanging="720"/>
        <w:contextualSpacing w:val="0"/>
        <w:rPr>
          <w:rFonts w:ascii="Arial" w:eastAsia="黑体" w:hAnsi="Arial" w:cs="Arial"/>
          <w:sz w:val="24"/>
          <w:szCs w:val="24"/>
        </w:rPr>
      </w:pPr>
      <w:r w:rsidRPr="00131C50">
        <w:rPr>
          <w:rFonts w:ascii="Arial" w:hAnsi="Arial" w:cs="Arial"/>
          <w:bCs/>
          <w:sz w:val="24"/>
          <w:szCs w:val="24"/>
        </w:rPr>
        <w:lastRenderedPageBreak/>
        <w:t xml:space="preserve">In this regard, pursuant to the chapeau of Article 2.1 of the SCM Agreement, </w:t>
      </w:r>
      <w:r w:rsidRPr="00131C50">
        <w:rPr>
          <w:rFonts w:ascii="Arial" w:hAnsi="Arial" w:cs="Arial"/>
          <w:sz w:val="24"/>
          <w:szCs w:val="24"/>
        </w:rPr>
        <w:t xml:space="preserve">and the specific requirement in Article 2.1(a) of the SCM Agreement, the central inquiry is whether a subsidy is specific to “certain enterprises” within the jurisdiction of the granting authority. As noted by the Appellate Body in </w:t>
      </w:r>
      <w:r w:rsidRPr="00131C50">
        <w:rPr>
          <w:rFonts w:ascii="Arial" w:hAnsi="Arial" w:cs="Arial"/>
          <w:bCs/>
          <w:i/>
          <w:iCs/>
          <w:sz w:val="24"/>
          <w:szCs w:val="24"/>
        </w:rPr>
        <w:t>US – Countervailing Measures (China)</w:t>
      </w:r>
      <w:r w:rsidRPr="00131C50">
        <w:rPr>
          <w:rFonts w:ascii="Arial" w:hAnsi="Arial" w:cs="Arial"/>
          <w:sz w:val="24"/>
          <w:szCs w:val="24"/>
        </w:rPr>
        <w:t>, “</w:t>
      </w:r>
      <w:r w:rsidRPr="00131C50">
        <w:rPr>
          <w:rFonts w:ascii="Arial" w:hAnsi="Arial" w:cs="Arial"/>
          <w:i/>
          <w:iCs/>
          <w:sz w:val="24"/>
          <w:szCs w:val="24"/>
        </w:rPr>
        <w:t>the analysis under Article 2.1 focuses on ascertaining whether access to the subsidy in question is limited to a particular class of eligible recipients</w:t>
      </w:r>
      <w:r w:rsidRPr="00131C50">
        <w:rPr>
          <w:rFonts w:ascii="Arial" w:hAnsi="Arial" w:cs="Arial"/>
          <w:sz w:val="24"/>
          <w:szCs w:val="24"/>
        </w:rPr>
        <w:t>.”</w:t>
      </w:r>
      <w:r w:rsidRPr="00131C50">
        <w:rPr>
          <w:rStyle w:val="ab"/>
          <w:rFonts w:ascii="Arial" w:hAnsi="Arial" w:cs="Arial"/>
          <w:sz w:val="24"/>
          <w:szCs w:val="24"/>
        </w:rPr>
        <w:footnoteReference w:id="24"/>
      </w:r>
      <w:r w:rsidRPr="00131C50">
        <w:rPr>
          <w:rFonts w:ascii="Arial" w:hAnsi="Arial" w:cs="Arial"/>
          <w:sz w:val="24"/>
          <w:szCs w:val="24"/>
        </w:rPr>
        <w:t xml:space="preserve"> </w:t>
      </w:r>
      <w:r w:rsidRPr="00131C50">
        <w:rPr>
          <w:rFonts w:ascii="Arial" w:hAnsi="Arial" w:cs="Arial"/>
          <w:bCs/>
          <w:sz w:val="24"/>
          <w:szCs w:val="24"/>
        </w:rPr>
        <w:t xml:space="preserve">As further noted by the Panel in </w:t>
      </w:r>
      <w:r w:rsidRPr="00131C50">
        <w:rPr>
          <w:rFonts w:ascii="Arial" w:hAnsi="Arial" w:cs="Arial"/>
          <w:bCs/>
          <w:i/>
          <w:iCs/>
          <w:sz w:val="24"/>
          <w:szCs w:val="24"/>
        </w:rPr>
        <w:t>US – Upland Cotton</w:t>
      </w:r>
      <w:r w:rsidRPr="00131C50">
        <w:rPr>
          <w:rFonts w:ascii="Arial" w:hAnsi="Arial" w:cs="Arial"/>
          <w:bCs/>
          <w:sz w:val="24"/>
          <w:szCs w:val="24"/>
        </w:rPr>
        <w:t xml:space="preserve">, </w:t>
      </w:r>
      <w:r w:rsidRPr="00953B9D">
        <w:rPr>
          <w:rFonts w:ascii="Arial" w:hAnsi="Arial" w:cs="Arial"/>
          <w:bCs/>
          <w:sz w:val="24"/>
          <w:szCs w:val="24"/>
        </w:rPr>
        <w:t>certain enterprises or sectors</w:t>
      </w:r>
      <w:r w:rsidRPr="00131C50">
        <w:rPr>
          <w:rFonts w:ascii="Arial" w:hAnsi="Arial" w:cs="Arial"/>
          <w:bCs/>
          <w:sz w:val="24"/>
          <w:szCs w:val="24"/>
        </w:rPr>
        <w:t xml:space="preserve"> must be targeted by a subsidy program in order for that program to be considered specific.</w:t>
      </w:r>
      <w:r w:rsidRPr="00131C50">
        <w:rPr>
          <w:rStyle w:val="ab"/>
          <w:rFonts w:ascii="Arial" w:hAnsi="Arial" w:cs="Arial"/>
          <w:bCs/>
          <w:sz w:val="24"/>
          <w:szCs w:val="24"/>
        </w:rPr>
        <w:footnoteReference w:id="25"/>
      </w:r>
      <w:r w:rsidRPr="00131C50">
        <w:rPr>
          <w:rFonts w:ascii="Arial" w:hAnsi="Arial" w:cs="Arial"/>
          <w:bCs/>
          <w:sz w:val="24"/>
          <w:szCs w:val="24"/>
        </w:rPr>
        <w:t xml:space="preserve"> </w:t>
      </w:r>
    </w:p>
    <w:p w14:paraId="37AB361E" w14:textId="77777777" w:rsidR="00AB0DE5" w:rsidRPr="00131C50" w:rsidRDefault="00AB0DE5" w:rsidP="00AB0DE5">
      <w:pPr>
        <w:pStyle w:val="a9"/>
        <w:autoSpaceDE w:val="0"/>
        <w:autoSpaceDN w:val="0"/>
        <w:adjustRightInd w:val="0"/>
        <w:ind w:hanging="720"/>
        <w:contextualSpacing w:val="0"/>
        <w:rPr>
          <w:rFonts w:ascii="Arial" w:eastAsia="黑体" w:hAnsi="Arial" w:cs="Arial"/>
          <w:sz w:val="24"/>
          <w:szCs w:val="24"/>
        </w:rPr>
      </w:pPr>
    </w:p>
    <w:p w14:paraId="3E47F623" w14:textId="43143E8C" w:rsidR="00AB0DE5" w:rsidRPr="00AB0DE5" w:rsidRDefault="00AB0DE5" w:rsidP="001F79D9">
      <w:pPr>
        <w:pStyle w:val="a9"/>
        <w:numPr>
          <w:ilvl w:val="0"/>
          <w:numId w:val="39"/>
        </w:numPr>
        <w:autoSpaceDE w:val="0"/>
        <w:autoSpaceDN w:val="0"/>
        <w:adjustRightInd w:val="0"/>
        <w:ind w:hanging="578"/>
        <w:contextualSpacing w:val="0"/>
        <w:rPr>
          <w:rFonts w:ascii="Arial" w:hAnsi="Arial" w:cs="Arial"/>
          <w:sz w:val="24"/>
          <w:szCs w:val="24"/>
        </w:rPr>
      </w:pPr>
      <w:r w:rsidRPr="00AB0DE5">
        <w:rPr>
          <w:rFonts w:ascii="Arial" w:hAnsi="Arial" w:cs="Arial"/>
          <w:bCs/>
          <w:sz w:val="24"/>
          <w:szCs w:val="24"/>
        </w:rPr>
        <w:t xml:space="preserve">The </w:t>
      </w:r>
      <w:r>
        <w:rPr>
          <w:rFonts w:ascii="Arial" w:hAnsi="Arial" w:cs="Arial" w:hint="eastAsia"/>
          <w:bCs/>
          <w:sz w:val="24"/>
          <w:szCs w:val="24"/>
        </w:rPr>
        <w:t>Applicant</w:t>
      </w:r>
      <w:r w:rsidRPr="00AB0DE5">
        <w:rPr>
          <w:rFonts w:ascii="Arial" w:hAnsi="Arial" w:cs="Arial"/>
          <w:bCs/>
          <w:sz w:val="24"/>
          <w:szCs w:val="24"/>
        </w:rPr>
        <w:t xml:space="preserve"> does not assess or indicate that the alleged tax benefits are limited to certain industries. The mere reference to the Synergistic Utilisation Reduction only applies</w:t>
      </w:r>
      <w:r w:rsidRPr="00AB0DE5">
        <w:rPr>
          <w:rFonts w:ascii="Arial" w:hAnsi="Arial" w:cs="Arial" w:hint="eastAsia"/>
          <w:bCs/>
          <w:sz w:val="24"/>
          <w:szCs w:val="24"/>
        </w:rPr>
        <w:t xml:space="preserve"> </w:t>
      </w:r>
      <w:r w:rsidRPr="00AB0DE5">
        <w:rPr>
          <w:rFonts w:ascii="Arial" w:hAnsi="Arial" w:cs="Arial"/>
          <w:bCs/>
          <w:sz w:val="24"/>
          <w:szCs w:val="24"/>
        </w:rPr>
        <w:t>when a company uses resources listed in the Catalogue of Enterprise Income</w:t>
      </w:r>
      <w:r w:rsidRPr="00AB0DE5">
        <w:rPr>
          <w:rFonts w:ascii="Arial" w:hAnsi="Arial" w:cs="Arial" w:hint="eastAsia"/>
          <w:bCs/>
          <w:sz w:val="24"/>
          <w:szCs w:val="24"/>
        </w:rPr>
        <w:t xml:space="preserve"> </w:t>
      </w:r>
      <w:r w:rsidRPr="00AB0DE5">
        <w:rPr>
          <w:rFonts w:ascii="Arial" w:hAnsi="Arial" w:cs="Arial"/>
          <w:bCs/>
          <w:sz w:val="24"/>
          <w:szCs w:val="24"/>
        </w:rPr>
        <w:t>Tax Preference for Synergistic Utilisation as a main raw material</w:t>
      </w:r>
      <w:r w:rsidRPr="00131C50">
        <w:rPr>
          <w:rStyle w:val="ab"/>
          <w:rFonts w:ascii="Arial" w:hAnsi="Arial" w:cs="Arial"/>
          <w:bCs/>
          <w:sz w:val="24"/>
          <w:szCs w:val="24"/>
        </w:rPr>
        <w:footnoteReference w:id="26"/>
      </w:r>
      <w:r w:rsidRPr="00AB0DE5">
        <w:rPr>
          <w:rFonts w:ascii="Arial" w:hAnsi="Arial" w:cs="Arial"/>
          <w:bCs/>
          <w:sz w:val="24"/>
          <w:szCs w:val="24"/>
        </w:rPr>
        <w:t xml:space="preserve"> is insufficient to evidence specificity. </w:t>
      </w:r>
      <w:r w:rsidR="009C460B">
        <w:rPr>
          <w:rFonts w:ascii="Arial" w:hAnsi="Arial" w:cs="Arial" w:hint="eastAsia"/>
          <w:bCs/>
          <w:sz w:val="24"/>
          <w:szCs w:val="24"/>
        </w:rPr>
        <w:t xml:space="preserve">Indeed, </w:t>
      </w:r>
      <w:r w:rsidRPr="00AB0DE5">
        <w:rPr>
          <w:rFonts w:ascii="Arial" w:eastAsia="黑体" w:hAnsi="Arial" w:cs="Arial"/>
          <w:sz w:val="24"/>
          <w:szCs w:val="24"/>
        </w:rPr>
        <w:t xml:space="preserve">the relevant legal instruments noted in the GOC’s AS questionnaire response prove that the alleged </w:t>
      </w:r>
      <w:r w:rsidR="009C460B" w:rsidRPr="002402C1">
        <w:rPr>
          <w:rFonts w:ascii="Arial" w:hAnsi="Arial" w:cs="Arial"/>
          <w:sz w:val="24"/>
          <w:szCs w:val="24"/>
        </w:rPr>
        <w:t>Synergistic Utilisation Reduction</w:t>
      </w:r>
      <w:r w:rsidRPr="00AB0DE5">
        <w:rPr>
          <w:rFonts w:ascii="Arial" w:eastAsia="黑体" w:hAnsi="Arial" w:cs="Arial"/>
          <w:sz w:val="24"/>
          <w:szCs w:val="24"/>
        </w:rPr>
        <w:t xml:space="preserve"> is available to all enterprises and industries operating in China.</w:t>
      </w:r>
    </w:p>
    <w:p w14:paraId="69BA835D" w14:textId="77777777" w:rsidR="00AB0DE5" w:rsidRPr="00131C50" w:rsidRDefault="00AB0DE5" w:rsidP="00AB0DE5">
      <w:pPr>
        <w:pStyle w:val="a9"/>
        <w:autoSpaceDE w:val="0"/>
        <w:autoSpaceDN w:val="0"/>
        <w:adjustRightInd w:val="0"/>
        <w:contextualSpacing w:val="0"/>
        <w:rPr>
          <w:rFonts w:ascii="Arial" w:eastAsia="黑体" w:hAnsi="Arial" w:cs="Arial"/>
          <w:sz w:val="24"/>
          <w:szCs w:val="24"/>
        </w:rPr>
      </w:pPr>
    </w:p>
    <w:p w14:paraId="334E8125" w14:textId="77777777" w:rsidR="00AB0DE5" w:rsidRPr="00131C50" w:rsidRDefault="00AB0DE5" w:rsidP="001F79D9">
      <w:pPr>
        <w:pStyle w:val="a9"/>
        <w:numPr>
          <w:ilvl w:val="0"/>
          <w:numId w:val="39"/>
        </w:numPr>
        <w:autoSpaceDE w:val="0"/>
        <w:autoSpaceDN w:val="0"/>
        <w:adjustRightInd w:val="0"/>
        <w:ind w:hanging="720"/>
        <w:contextualSpacing w:val="0"/>
        <w:rPr>
          <w:rFonts w:ascii="Arial" w:hAnsi="Arial" w:cs="Arial"/>
          <w:sz w:val="24"/>
          <w:szCs w:val="24"/>
        </w:rPr>
      </w:pPr>
      <w:r w:rsidRPr="00131C50">
        <w:rPr>
          <w:rFonts w:ascii="Arial" w:eastAsia="黑体" w:hAnsi="Arial" w:cs="Arial"/>
          <w:sz w:val="24"/>
          <w:szCs w:val="24"/>
        </w:rPr>
        <w:t xml:space="preserve">Without prejudice to the above, </w:t>
      </w:r>
      <w:r w:rsidRPr="00131C50">
        <w:rPr>
          <w:rFonts w:ascii="Arial" w:hAnsi="Arial" w:cs="Arial"/>
          <w:bCs/>
          <w:sz w:val="24"/>
          <w:szCs w:val="24"/>
        </w:rPr>
        <w:t xml:space="preserve">Article 2.1(b) of the SCM Agreement establishes that specificity </w:t>
      </w:r>
      <w:r w:rsidRPr="00131C50">
        <w:rPr>
          <w:rFonts w:ascii="Arial" w:hAnsi="Arial" w:cs="Arial"/>
          <w:sz w:val="24"/>
          <w:szCs w:val="24"/>
        </w:rPr>
        <w:t xml:space="preserve">“shall not exist” if the granting authority, or the legislation pursuant to which the granting authority operates, establishes objective criteria or conditions governing the eligibility for, and the amount of, the subsidy, provided that eligibility is automatic, that such criteria or conditions are strictly adhered to, and that they are clearly spelled out in law, regulations, or other official documents so as to be capable of verification. As noted by the Appellate Body in </w:t>
      </w:r>
      <w:r w:rsidRPr="00131C50">
        <w:rPr>
          <w:rFonts w:ascii="Arial" w:hAnsi="Arial" w:cs="Arial"/>
          <w:bCs/>
          <w:i/>
          <w:iCs/>
          <w:color w:val="000000"/>
          <w:sz w:val="24"/>
          <w:szCs w:val="24"/>
        </w:rPr>
        <w:t>US –Countervailing Duties (China)</w:t>
      </w:r>
      <w:r w:rsidRPr="00131C50">
        <w:rPr>
          <w:rFonts w:ascii="Arial" w:hAnsi="Arial" w:cs="Arial"/>
          <w:bCs/>
          <w:color w:val="000000"/>
          <w:sz w:val="24"/>
          <w:szCs w:val="24"/>
        </w:rPr>
        <w:t>,</w:t>
      </w:r>
      <w:r w:rsidRPr="00131C50">
        <w:rPr>
          <w:rFonts w:ascii="Arial" w:hAnsi="Arial" w:cs="Arial"/>
          <w:sz w:val="24"/>
          <w:szCs w:val="24"/>
        </w:rPr>
        <w:t xml:space="preserve"> Article 2.1(b) prescribes “</w:t>
      </w:r>
      <w:r w:rsidRPr="00131C50">
        <w:rPr>
          <w:rFonts w:ascii="Arial" w:hAnsi="Arial" w:cs="Arial"/>
          <w:i/>
          <w:iCs/>
          <w:sz w:val="24"/>
          <w:szCs w:val="24"/>
        </w:rPr>
        <w:t>criteria or conditions that guard against selective eligibility</w:t>
      </w:r>
      <w:r w:rsidRPr="00131C50">
        <w:rPr>
          <w:rFonts w:ascii="Arial" w:hAnsi="Arial" w:cs="Arial"/>
          <w:sz w:val="24"/>
          <w:szCs w:val="24"/>
        </w:rPr>
        <w:t>.”</w:t>
      </w:r>
      <w:r w:rsidRPr="00131C50">
        <w:rPr>
          <w:rStyle w:val="ab"/>
          <w:rFonts w:ascii="Arial" w:hAnsi="Arial" w:cs="Arial"/>
          <w:sz w:val="24"/>
          <w:szCs w:val="24"/>
        </w:rPr>
        <w:footnoteReference w:id="27"/>
      </w:r>
    </w:p>
    <w:p w14:paraId="65BD33AB" w14:textId="77777777" w:rsidR="00AB0DE5" w:rsidRPr="00131C50" w:rsidRDefault="00AB0DE5" w:rsidP="00AB0DE5">
      <w:pPr>
        <w:pStyle w:val="a9"/>
        <w:ind w:hanging="720"/>
        <w:rPr>
          <w:rFonts w:ascii="Arial" w:hAnsi="Arial" w:cs="Arial"/>
          <w:sz w:val="24"/>
          <w:szCs w:val="24"/>
        </w:rPr>
      </w:pPr>
    </w:p>
    <w:p w14:paraId="54D70656" w14:textId="18607F05" w:rsidR="00AB0DE5" w:rsidRPr="009C460B" w:rsidRDefault="00AB0DE5" w:rsidP="001F79D9">
      <w:pPr>
        <w:pStyle w:val="a9"/>
        <w:numPr>
          <w:ilvl w:val="0"/>
          <w:numId w:val="39"/>
        </w:numPr>
        <w:autoSpaceDE w:val="0"/>
        <w:autoSpaceDN w:val="0"/>
        <w:adjustRightInd w:val="0"/>
        <w:ind w:hanging="720"/>
        <w:contextualSpacing w:val="0"/>
        <w:rPr>
          <w:rFonts w:ascii="Arial" w:hAnsi="Arial" w:cs="Arial"/>
          <w:sz w:val="24"/>
          <w:szCs w:val="24"/>
        </w:rPr>
      </w:pPr>
      <w:r w:rsidRPr="009C460B">
        <w:rPr>
          <w:rFonts w:ascii="Arial" w:hAnsi="Arial" w:cs="Arial"/>
          <w:sz w:val="24"/>
          <w:szCs w:val="24"/>
        </w:rPr>
        <w:lastRenderedPageBreak/>
        <w:t>In this regard, with respect to the alleged, the GOC has always taken the position that this alleged subsidy program is not specific as the legislation pursuant to which the granting authority operates, establishes objective criteria or conditions governing the eligibility for, and the amount of, the tax reduction and that eligibility is automatic and that the qualification criteria and conditions are strictly adhered to. Furthermore, the State Administration for Taxation has no discretion in its application. Thus, the alleged subsid</w:t>
      </w:r>
      <w:r w:rsidR="00346A8B">
        <w:rPr>
          <w:rFonts w:ascii="Arial" w:hAnsi="Arial" w:cs="Arial" w:hint="eastAsia"/>
          <w:sz w:val="24"/>
          <w:szCs w:val="24"/>
        </w:rPr>
        <w:t>y programm</w:t>
      </w:r>
      <w:r w:rsidRPr="009C460B">
        <w:rPr>
          <w:rFonts w:ascii="Arial" w:hAnsi="Arial" w:cs="Arial"/>
          <w:sz w:val="24"/>
          <w:szCs w:val="24"/>
        </w:rPr>
        <w:t xml:space="preserve"> </w:t>
      </w:r>
      <w:r w:rsidR="00346A8B">
        <w:rPr>
          <w:rFonts w:ascii="Arial" w:hAnsi="Arial" w:cs="Arial" w:hint="eastAsia"/>
          <w:sz w:val="24"/>
          <w:szCs w:val="24"/>
        </w:rPr>
        <w:t>is</w:t>
      </w:r>
      <w:r w:rsidRPr="009C460B">
        <w:rPr>
          <w:rFonts w:ascii="Arial" w:hAnsi="Arial" w:cs="Arial"/>
          <w:sz w:val="24"/>
          <w:szCs w:val="24"/>
        </w:rPr>
        <w:t xml:space="preserve"> also not specific.</w:t>
      </w:r>
    </w:p>
    <w:p w14:paraId="2127FEC9" w14:textId="77777777" w:rsidR="002402C1" w:rsidRDefault="002402C1" w:rsidP="002402C1">
      <w:pPr>
        <w:pStyle w:val="a9"/>
        <w:autoSpaceDE w:val="0"/>
        <w:autoSpaceDN w:val="0"/>
        <w:adjustRightInd w:val="0"/>
        <w:contextualSpacing w:val="0"/>
        <w:rPr>
          <w:rFonts w:ascii="Arial" w:hAnsi="Arial" w:cs="Arial"/>
          <w:sz w:val="24"/>
          <w:szCs w:val="24"/>
        </w:rPr>
      </w:pPr>
    </w:p>
    <w:p w14:paraId="2BE86EE0" w14:textId="1BD1C604" w:rsidR="002402C1" w:rsidRPr="002402C1" w:rsidRDefault="002402C1" w:rsidP="001F79D9">
      <w:pPr>
        <w:pStyle w:val="a9"/>
        <w:numPr>
          <w:ilvl w:val="0"/>
          <w:numId w:val="39"/>
        </w:numPr>
        <w:autoSpaceDE w:val="0"/>
        <w:autoSpaceDN w:val="0"/>
        <w:adjustRightInd w:val="0"/>
        <w:ind w:hanging="720"/>
        <w:contextualSpacing w:val="0"/>
        <w:rPr>
          <w:rFonts w:ascii="Arial" w:hAnsi="Arial" w:cs="Arial"/>
          <w:sz w:val="24"/>
          <w:szCs w:val="24"/>
        </w:rPr>
      </w:pPr>
      <w:r w:rsidRPr="002402C1">
        <w:rPr>
          <w:rFonts w:ascii="Arial" w:hAnsi="Arial" w:cs="Arial"/>
          <w:sz w:val="24"/>
          <w:szCs w:val="24"/>
        </w:rPr>
        <w:t>In any event, as confirmed by the exporting producer</w:t>
      </w:r>
      <w:r>
        <w:rPr>
          <w:rFonts w:ascii="Arial" w:hAnsi="Arial" w:cs="Arial" w:hint="eastAsia"/>
          <w:sz w:val="24"/>
          <w:szCs w:val="24"/>
        </w:rPr>
        <w:t>s</w:t>
      </w:r>
      <w:r w:rsidRPr="002402C1">
        <w:rPr>
          <w:rFonts w:ascii="Arial" w:hAnsi="Arial" w:cs="Arial"/>
          <w:sz w:val="24"/>
          <w:szCs w:val="24"/>
        </w:rPr>
        <w:t xml:space="preserve"> cooperating in this case, it did not resort to </w:t>
      </w:r>
      <w:r w:rsidR="009C460B">
        <w:rPr>
          <w:rFonts w:ascii="Arial" w:hAnsi="Arial" w:cs="Arial" w:hint="eastAsia"/>
          <w:sz w:val="24"/>
          <w:szCs w:val="24"/>
        </w:rPr>
        <w:t xml:space="preserve">alleged </w:t>
      </w:r>
      <w:r w:rsidRPr="002402C1">
        <w:rPr>
          <w:rFonts w:ascii="Arial" w:hAnsi="Arial" w:cs="Arial"/>
          <w:sz w:val="24"/>
          <w:szCs w:val="24"/>
        </w:rPr>
        <w:t>Synergistic Utilisation Reduction</w:t>
      </w:r>
      <w:r w:rsidR="009C460B">
        <w:rPr>
          <w:rFonts w:ascii="Arial" w:hAnsi="Arial" w:cs="Arial" w:hint="eastAsia"/>
          <w:sz w:val="24"/>
          <w:szCs w:val="24"/>
        </w:rPr>
        <w:t xml:space="preserve"> program</w:t>
      </w:r>
      <w:r w:rsidRPr="002402C1">
        <w:rPr>
          <w:rFonts w:ascii="Arial" w:hAnsi="Arial" w:cs="Arial"/>
          <w:sz w:val="24"/>
          <w:szCs w:val="24"/>
        </w:rPr>
        <w:t>.</w:t>
      </w:r>
    </w:p>
    <w:p w14:paraId="135590F7" w14:textId="77777777" w:rsidR="002402C1" w:rsidRDefault="002402C1" w:rsidP="004E151E">
      <w:pPr>
        <w:autoSpaceDE w:val="0"/>
        <w:autoSpaceDN w:val="0"/>
        <w:adjustRightInd w:val="0"/>
        <w:rPr>
          <w:rFonts w:ascii="Arial" w:hAnsi="Arial" w:cs="Arial"/>
          <w:sz w:val="24"/>
          <w:szCs w:val="24"/>
        </w:rPr>
      </w:pPr>
    </w:p>
    <w:p w14:paraId="394DD68E" w14:textId="7116556D" w:rsidR="000B6ADD" w:rsidRPr="000B6ADD" w:rsidRDefault="000B6ADD" w:rsidP="000B6ADD">
      <w:pPr>
        <w:pStyle w:val="3"/>
        <w:rPr>
          <w:rFonts w:ascii="Arial" w:eastAsiaTheme="minorEastAsia" w:hAnsi="Arial" w:cs="Arial"/>
          <w:b/>
          <w:bCs/>
          <w:color w:val="auto"/>
        </w:rPr>
      </w:pPr>
      <w:bookmarkStart w:id="12" w:name="_Toc161355124"/>
      <w:r w:rsidRPr="000B6ADD">
        <w:rPr>
          <w:rFonts w:ascii="Arial" w:eastAsiaTheme="minorEastAsia" w:hAnsi="Arial" w:cs="Arial"/>
          <w:b/>
          <w:bCs/>
          <w:color w:val="auto"/>
        </w:rPr>
        <w:t>VAT exemption on imported equipment</w:t>
      </w:r>
      <w:bookmarkEnd w:id="12"/>
    </w:p>
    <w:p w14:paraId="7A2CD35C" w14:textId="77777777" w:rsidR="000B6ADD" w:rsidRPr="00131C50" w:rsidRDefault="000B6ADD" w:rsidP="000B6ADD">
      <w:pPr>
        <w:rPr>
          <w:rFonts w:ascii="Arial" w:hAnsi="Arial" w:cs="Arial"/>
          <w:sz w:val="24"/>
          <w:szCs w:val="24"/>
        </w:rPr>
      </w:pPr>
    </w:p>
    <w:p w14:paraId="24B55F18" w14:textId="77777777" w:rsidR="000B6ADD" w:rsidRPr="00131C50" w:rsidRDefault="000B6ADD" w:rsidP="001F79D9">
      <w:pPr>
        <w:pStyle w:val="a9"/>
        <w:numPr>
          <w:ilvl w:val="0"/>
          <w:numId w:val="39"/>
        </w:numPr>
        <w:autoSpaceDE w:val="0"/>
        <w:autoSpaceDN w:val="0"/>
        <w:adjustRightInd w:val="0"/>
        <w:ind w:left="720" w:hanging="720"/>
        <w:contextualSpacing w:val="0"/>
        <w:rPr>
          <w:rFonts w:ascii="Arial" w:eastAsiaTheme="minorHAnsi" w:hAnsi="Arial" w:cs="Arial"/>
          <w:sz w:val="24"/>
          <w:szCs w:val="24"/>
          <w:lang w:eastAsia="en-US" w:bidi="hi-IN"/>
          <w14:ligatures w14:val="standardContextual"/>
        </w:rPr>
      </w:pPr>
      <w:r w:rsidRPr="00131C50">
        <w:rPr>
          <w:rFonts w:ascii="Arial" w:eastAsia="黑体" w:hAnsi="Arial" w:cs="Arial"/>
          <w:sz w:val="24"/>
          <w:szCs w:val="24"/>
        </w:rPr>
        <w:t xml:space="preserve">With regard to the alleged VAT exemption on the use of imported equipment, as noted by the GOC during the consultations and in the narrative part of the response, no such exemption exists. </w:t>
      </w:r>
    </w:p>
    <w:p w14:paraId="5D0DDA22" w14:textId="77777777" w:rsidR="000B6ADD" w:rsidRPr="00131C50" w:rsidRDefault="000B6ADD" w:rsidP="000B6ADD">
      <w:pPr>
        <w:pStyle w:val="a9"/>
        <w:autoSpaceDE w:val="0"/>
        <w:autoSpaceDN w:val="0"/>
        <w:adjustRightInd w:val="0"/>
        <w:ind w:hanging="720"/>
        <w:contextualSpacing w:val="0"/>
        <w:rPr>
          <w:rFonts w:ascii="Arial" w:eastAsiaTheme="minorHAnsi" w:hAnsi="Arial" w:cs="Arial"/>
          <w:sz w:val="24"/>
          <w:szCs w:val="24"/>
          <w:lang w:eastAsia="en-US" w:bidi="hi-IN"/>
          <w14:ligatures w14:val="standardContextual"/>
        </w:rPr>
      </w:pPr>
    </w:p>
    <w:p w14:paraId="77762FF4" w14:textId="3F164758" w:rsidR="000B6ADD" w:rsidRPr="00131C50" w:rsidRDefault="000B6ADD" w:rsidP="001F79D9">
      <w:pPr>
        <w:pStyle w:val="a9"/>
        <w:numPr>
          <w:ilvl w:val="0"/>
          <w:numId w:val="39"/>
        </w:numPr>
        <w:autoSpaceDE w:val="0"/>
        <w:autoSpaceDN w:val="0"/>
        <w:adjustRightInd w:val="0"/>
        <w:ind w:left="720" w:hanging="720"/>
        <w:contextualSpacing w:val="0"/>
        <w:rPr>
          <w:rFonts w:ascii="Arial" w:eastAsiaTheme="minorHAnsi" w:hAnsi="Arial" w:cs="Arial"/>
          <w:sz w:val="24"/>
          <w:szCs w:val="24"/>
          <w:lang w:eastAsia="en-US" w:bidi="hi-IN"/>
          <w14:ligatures w14:val="standardContextual"/>
        </w:rPr>
      </w:pPr>
      <w:r>
        <w:rPr>
          <w:rFonts w:ascii="Arial" w:eastAsia="黑体" w:hAnsi="Arial" w:cs="Arial" w:hint="eastAsia"/>
          <w:sz w:val="24"/>
          <w:szCs w:val="24"/>
        </w:rPr>
        <w:t>A</w:t>
      </w:r>
      <w:r w:rsidRPr="00131C50">
        <w:rPr>
          <w:rFonts w:ascii="Arial" w:eastAsia="黑体" w:hAnsi="Arial" w:cs="Arial"/>
          <w:sz w:val="24"/>
          <w:szCs w:val="24"/>
        </w:rPr>
        <w:t xml:space="preserve">s established by the GOC in previous investigations, the </w:t>
      </w:r>
      <w:r w:rsidRPr="00131C50">
        <w:rPr>
          <w:rFonts w:ascii="Arial" w:hAnsi="Arial" w:cs="Arial"/>
          <w:sz w:val="24"/>
          <w:szCs w:val="24"/>
        </w:rPr>
        <w:t>VAT exemption on the use of imported equipment was terminated as of 1 January 2009. The relevant document establishing this is provided with the GOC’s questionnaire response.</w:t>
      </w:r>
    </w:p>
    <w:p w14:paraId="0C1A892C" w14:textId="77777777" w:rsidR="000B6ADD" w:rsidRPr="00131C50" w:rsidRDefault="000B6ADD" w:rsidP="000B6ADD">
      <w:pPr>
        <w:pStyle w:val="a9"/>
        <w:autoSpaceDE w:val="0"/>
        <w:autoSpaceDN w:val="0"/>
        <w:adjustRightInd w:val="0"/>
        <w:contextualSpacing w:val="0"/>
        <w:rPr>
          <w:rFonts w:ascii="Arial" w:eastAsiaTheme="minorHAnsi" w:hAnsi="Arial" w:cs="Arial"/>
          <w:sz w:val="24"/>
          <w:szCs w:val="24"/>
          <w:lang w:eastAsia="en-US" w:bidi="hi-IN"/>
          <w14:ligatures w14:val="standardContextual"/>
        </w:rPr>
      </w:pPr>
    </w:p>
    <w:p w14:paraId="710D1541" w14:textId="3056F6F6" w:rsidR="000B6ADD" w:rsidRPr="00131C50" w:rsidRDefault="000B6ADD" w:rsidP="001F79D9">
      <w:pPr>
        <w:pStyle w:val="a9"/>
        <w:numPr>
          <w:ilvl w:val="0"/>
          <w:numId w:val="39"/>
        </w:numPr>
        <w:autoSpaceDE w:val="0"/>
        <w:autoSpaceDN w:val="0"/>
        <w:adjustRightInd w:val="0"/>
        <w:ind w:left="720" w:hanging="720"/>
        <w:contextualSpacing w:val="0"/>
        <w:rPr>
          <w:rFonts w:ascii="Arial" w:eastAsiaTheme="minorHAnsi" w:hAnsi="Arial" w:cs="Arial"/>
          <w:sz w:val="24"/>
          <w:szCs w:val="24"/>
          <w:lang w:eastAsia="en-US" w:bidi="hi-IN"/>
          <w14:ligatures w14:val="standardContextual"/>
        </w:rPr>
      </w:pPr>
      <w:r w:rsidRPr="00131C50">
        <w:rPr>
          <w:rFonts w:ascii="Arial" w:hAnsi="Arial" w:cs="Arial"/>
          <w:bCs/>
          <w:sz w:val="24"/>
          <w:szCs w:val="24"/>
        </w:rPr>
        <w:t xml:space="preserve">Thus, this alleged program cannot be legally investigated. </w:t>
      </w:r>
      <w:r w:rsidRPr="00131C50">
        <w:rPr>
          <w:rFonts w:ascii="Arial" w:eastAsia="黑体" w:hAnsi="Arial" w:cs="Arial"/>
          <w:sz w:val="24"/>
          <w:szCs w:val="24"/>
        </w:rPr>
        <w:t xml:space="preserve">In any event, no evidence of any benefit to the Chinese </w:t>
      </w:r>
      <w:r>
        <w:rPr>
          <w:rFonts w:ascii="Arial" w:eastAsia="黑体" w:hAnsi="Arial" w:cs="Arial" w:hint="eastAsia"/>
          <w:sz w:val="24"/>
          <w:szCs w:val="24"/>
        </w:rPr>
        <w:t>Excavator</w:t>
      </w:r>
      <w:r w:rsidRPr="00131C50">
        <w:rPr>
          <w:rFonts w:ascii="Arial" w:eastAsia="黑体" w:hAnsi="Arial" w:cs="Arial"/>
          <w:sz w:val="24"/>
          <w:szCs w:val="24"/>
        </w:rPr>
        <w:t xml:space="preserve"> producers in the IP was provided </w:t>
      </w:r>
      <w:r>
        <w:rPr>
          <w:rFonts w:ascii="Arial" w:eastAsia="黑体" w:hAnsi="Arial" w:cs="Arial" w:hint="eastAsia"/>
          <w:sz w:val="24"/>
          <w:szCs w:val="24"/>
        </w:rPr>
        <w:t>by the applicant</w:t>
      </w:r>
      <w:r w:rsidRPr="00131C50">
        <w:rPr>
          <w:rFonts w:ascii="Arial" w:eastAsia="黑体" w:hAnsi="Arial" w:cs="Arial"/>
          <w:sz w:val="24"/>
          <w:szCs w:val="24"/>
        </w:rPr>
        <w:t>.</w:t>
      </w:r>
    </w:p>
    <w:p w14:paraId="1DF54844" w14:textId="77777777" w:rsidR="000B6ADD" w:rsidRPr="00131C50" w:rsidRDefault="000B6ADD" w:rsidP="000B6ADD">
      <w:pPr>
        <w:pStyle w:val="a9"/>
        <w:autoSpaceDE w:val="0"/>
        <w:autoSpaceDN w:val="0"/>
        <w:adjustRightInd w:val="0"/>
        <w:ind w:hanging="720"/>
        <w:contextualSpacing w:val="0"/>
        <w:rPr>
          <w:rFonts w:ascii="Arial" w:eastAsiaTheme="minorHAnsi" w:hAnsi="Arial" w:cs="Arial"/>
          <w:sz w:val="24"/>
          <w:szCs w:val="24"/>
          <w:lang w:eastAsia="en-US" w:bidi="hi-IN"/>
          <w14:ligatures w14:val="standardContextual"/>
        </w:rPr>
      </w:pPr>
    </w:p>
    <w:p w14:paraId="65E210AC" w14:textId="77777777" w:rsidR="000B6ADD" w:rsidRPr="000B6ADD" w:rsidRDefault="000B6ADD" w:rsidP="001F79D9">
      <w:pPr>
        <w:pStyle w:val="a9"/>
        <w:numPr>
          <w:ilvl w:val="0"/>
          <w:numId w:val="39"/>
        </w:numPr>
        <w:autoSpaceDE w:val="0"/>
        <w:autoSpaceDN w:val="0"/>
        <w:adjustRightInd w:val="0"/>
        <w:ind w:left="720" w:hanging="720"/>
        <w:contextualSpacing w:val="0"/>
        <w:rPr>
          <w:rFonts w:ascii="Arial" w:eastAsia="TimesNewRomanPSMT" w:hAnsi="Arial" w:cs="Arial"/>
          <w:sz w:val="24"/>
          <w:szCs w:val="24"/>
          <w:lang w:eastAsia="en-US" w:bidi="hi-IN"/>
          <w14:ligatures w14:val="standardContextual"/>
        </w:rPr>
      </w:pPr>
      <w:r w:rsidRPr="00131C50">
        <w:rPr>
          <w:rFonts w:ascii="Arial" w:hAnsi="Arial" w:cs="Arial"/>
          <w:bCs/>
          <w:sz w:val="24"/>
          <w:szCs w:val="24"/>
        </w:rPr>
        <w:t>That said, the GOC considers that, in any event, there is no benefit pursuant to the alleged VAT exemption, as is also recognized by the US Department of Commerce. The latter does not investigate the above-mentioned VAT program because, under</w:t>
      </w:r>
      <w:r w:rsidRPr="00131C50">
        <w:rPr>
          <w:rFonts w:ascii="Arial" w:eastAsia="TimesNewRomanPSMT" w:hAnsi="Arial" w:cs="Arial"/>
          <w:sz w:val="24"/>
          <w:szCs w:val="24"/>
          <w:lang w:eastAsia="en-US" w:bidi="hi-IN"/>
          <w14:ligatures w14:val="standardContextual"/>
        </w:rPr>
        <w:t xml:space="preserve"> the consumption-based VAT regime, as applicable in China, the VAT is a consumption tax that a company conveys to the government, ultimately paying nothing because it is the final consumer who actually </w:t>
      </w:r>
      <w:r w:rsidRPr="00131C50">
        <w:rPr>
          <w:rFonts w:ascii="Arial" w:eastAsia="TimesNewRomanPSMT" w:hAnsi="Arial" w:cs="Arial"/>
          <w:sz w:val="24"/>
          <w:szCs w:val="24"/>
          <w:lang w:eastAsia="en-US" w:bidi="hi-IN"/>
          <w14:ligatures w14:val="standardContextual"/>
        </w:rPr>
        <w:lastRenderedPageBreak/>
        <w:t xml:space="preserve">shoulders the tax burden. The input VAT is offset against output VAT and the difference collected is remitted or received from the government as the case may be, but there is no revenue forgone by the government or any benefit to the exporting producers. </w:t>
      </w:r>
    </w:p>
    <w:p w14:paraId="452FE05A" w14:textId="77777777" w:rsidR="000B6ADD" w:rsidRPr="000B6ADD" w:rsidRDefault="000B6ADD" w:rsidP="000B6ADD">
      <w:pPr>
        <w:autoSpaceDE w:val="0"/>
        <w:autoSpaceDN w:val="0"/>
        <w:adjustRightInd w:val="0"/>
        <w:rPr>
          <w:rFonts w:ascii="Arial" w:hAnsi="Arial" w:cs="Arial"/>
          <w:sz w:val="24"/>
          <w:szCs w:val="24"/>
          <w:lang w:bidi="hi-IN"/>
          <w14:ligatures w14:val="standardContextual"/>
        </w:rPr>
      </w:pPr>
    </w:p>
    <w:p w14:paraId="6EEF7E3E" w14:textId="77777777" w:rsidR="000B6ADD" w:rsidRPr="00131C50" w:rsidRDefault="000B6ADD" w:rsidP="001F79D9">
      <w:pPr>
        <w:pStyle w:val="a9"/>
        <w:numPr>
          <w:ilvl w:val="0"/>
          <w:numId w:val="39"/>
        </w:numPr>
        <w:autoSpaceDE w:val="0"/>
        <w:autoSpaceDN w:val="0"/>
        <w:adjustRightInd w:val="0"/>
        <w:ind w:left="720" w:hanging="720"/>
        <w:contextualSpacing w:val="0"/>
        <w:rPr>
          <w:rFonts w:ascii="Arial" w:eastAsiaTheme="minorHAnsi" w:hAnsi="Arial" w:cs="Arial"/>
          <w:color w:val="000000" w:themeColor="text1"/>
          <w:sz w:val="24"/>
          <w:szCs w:val="24"/>
          <w:lang w:eastAsia="en-US" w:bidi="hi-IN"/>
          <w14:ligatures w14:val="standardContextual"/>
        </w:rPr>
      </w:pPr>
      <w:r w:rsidRPr="00131C50">
        <w:rPr>
          <w:rFonts w:ascii="Arial" w:eastAsia="TimesNewRomanPSMT" w:hAnsi="Arial" w:cs="Arial"/>
          <w:sz w:val="24"/>
          <w:szCs w:val="24"/>
          <w:lang w:eastAsia="en-US" w:bidi="hi-IN"/>
          <w14:ligatures w14:val="standardContextual"/>
        </w:rPr>
        <w:t xml:space="preserve">The GOC notes that it is the USDOC’s consistent policy not to investigate VAT exemptions on capital equipment and this policy is applied across the board in all countervailing duty investigations. The rationale for not investigating VAT exemptions on imported equipment was, for instance, also applied in the US countervailing duty investigation against </w:t>
      </w:r>
      <w:r w:rsidRPr="00131C50">
        <w:rPr>
          <w:rFonts w:ascii="Arial" w:eastAsia="TimesNewRomanPSMT" w:hAnsi="Arial" w:cs="Arial"/>
          <w:i/>
          <w:iCs/>
          <w:sz w:val="24"/>
          <w:szCs w:val="24"/>
          <w:lang w:eastAsia="en-US" w:bidi="hi-IN"/>
          <w14:ligatures w14:val="standardContextual"/>
        </w:rPr>
        <w:t>Hot-Rolled Steel from Korea</w:t>
      </w:r>
      <w:r w:rsidRPr="00131C50">
        <w:rPr>
          <w:rFonts w:ascii="Arial" w:eastAsia="TimesNewRomanPSMT" w:hAnsi="Arial" w:cs="Arial"/>
          <w:sz w:val="24"/>
          <w:szCs w:val="24"/>
          <w:lang w:eastAsia="en-US" w:bidi="hi-IN"/>
          <w14:ligatures w14:val="standardContextual"/>
        </w:rPr>
        <w:t xml:space="preserve"> and was explained by the USDOC as follows:</w:t>
      </w:r>
    </w:p>
    <w:p w14:paraId="74CB15BE" w14:textId="77777777" w:rsidR="000B6ADD" w:rsidRPr="00131C50" w:rsidRDefault="000B6ADD" w:rsidP="000B6ADD">
      <w:pPr>
        <w:pStyle w:val="a9"/>
        <w:rPr>
          <w:rFonts w:ascii="Arial" w:eastAsia="TimesNewRomanPSMT" w:hAnsi="Arial" w:cs="Arial"/>
          <w:sz w:val="24"/>
          <w:szCs w:val="24"/>
          <w:lang w:eastAsia="en-US" w:bidi="hi-IN"/>
          <w14:ligatures w14:val="standardContextual"/>
        </w:rPr>
      </w:pPr>
    </w:p>
    <w:p w14:paraId="2E0E18BB" w14:textId="77777777" w:rsidR="000B6ADD" w:rsidRPr="00131C50" w:rsidRDefault="000B6ADD" w:rsidP="000B6ADD">
      <w:pPr>
        <w:rPr>
          <w:rFonts w:ascii="Arial" w:eastAsia="TimesNewRomanPSMT" w:hAnsi="Arial" w:cs="Arial"/>
          <w:sz w:val="24"/>
          <w:szCs w:val="24"/>
          <w:lang w:eastAsia="en-US" w:bidi="hi-IN"/>
          <w14:ligatures w14:val="standardContextual"/>
        </w:rPr>
      </w:pPr>
      <w:r w:rsidRPr="00131C50">
        <w:rPr>
          <w:rFonts w:ascii="Arial" w:eastAsia="TimesNewRomanPSMT" w:hAnsi="Arial" w:cs="Arial"/>
          <w:noProof/>
          <w:sz w:val="24"/>
          <w:szCs w:val="24"/>
          <w:lang w:eastAsia="en-US" w:bidi="hi-IN"/>
          <w14:ligatures w14:val="standardContextual"/>
        </w:rPr>
        <w:lastRenderedPageBreak/>
        <w:drawing>
          <wp:inline distT="0" distB="0" distL="0" distR="0" wp14:anchorId="7E0C9078" wp14:editId="430F34B8">
            <wp:extent cx="5731510" cy="5326380"/>
            <wp:effectExtent l="76200" t="76200" r="135890" b="140970"/>
            <wp:docPr id="1405409508" name="Picture 1" descr="A document with text and imag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14667" name="Picture 1" descr="A document with text and images&#10;&#10;Description automatically generated"/>
                    <pic:cNvPicPr/>
                  </pic:nvPicPr>
                  <pic:blipFill>
                    <a:blip r:embed="rId8"/>
                    <a:stretch>
                      <a:fillRect/>
                    </a:stretch>
                  </pic:blipFill>
                  <pic:spPr>
                    <a:xfrm>
                      <a:off x="0" y="0"/>
                      <a:ext cx="5731510" cy="532638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Pr="00131C50">
        <w:rPr>
          <w:rFonts w:ascii="Arial" w:eastAsia="TimesNewRomanPSMT" w:hAnsi="Arial" w:cs="Arial"/>
          <w:sz w:val="24"/>
          <w:szCs w:val="24"/>
          <w:lang w:eastAsia="en-US" w:bidi="hi-IN"/>
          <w14:ligatures w14:val="standardContextual"/>
        </w:rPr>
        <w:t xml:space="preserve"> </w:t>
      </w:r>
    </w:p>
    <w:p w14:paraId="5BADE598" w14:textId="1C866639" w:rsidR="000B6ADD" w:rsidRPr="000B6ADD" w:rsidRDefault="000B6ADD" w:rsidP="001F79D9">
      <w:pPr>
        <w:pStyle w:val="a9"/>
        <w:numPr>
          <w:ilvl w:val="0"/>
          <w:numId w:val="39"/>
        </w:numPr>
        <w:autoSpaceDE w:val="0"/>
        <w:autoSpaceDN w:val="0"/>
        <w:adjustRightInd w:val="0"/>
        <w:ind w:left="720" w:hanging="720"/>
        <w:contextualSpacing w:val="0"/>
        <w:rPr>
          <w:rFonts w:ascii="Arial" w:eastAsia="TimesNewRomanPSMT" w:hAnsi="Arial" w:cs="Arial"/>
          <w:sz w:val="24"/>
          <w:szCs w:val="24"/>
          <w:lang w:eastAsia="en-US" w:bidi="hi-IN"/>
          <w14:ligatures w14:val="standardContextual"/>
        </w:rPr>
      </w:pPr>
      <w:r w:rsidRPr="000B6ADD">
        <w:rPr>
          <w:rFonts w:ascii="Arial" w:eastAsia="TimesNewRomanPSMT" w:hAnsi="Arial" w:cs="Arial"/>
          <w:sz w:val="24"/>
          <w:szCs w:val="24"/>
          <w:lang w:eastAsia="en-US" w:bidi="hi-IN"/>
          <w14:ligatures w14:val="standardContextual"/>
        </w:rPr>
        <w:t>Thus, the VAT exemption program cannot be legally investigated.</w:t>
      </w:r>
    </w:p>
    <w:p w14:paraId="1E12733A" w14:textId="77777777" w:rsidR="000B6ADD" w:rsidRPr="000B6ADD" w:rsidRDefault="000B6ADD" w:rsidP="000B6ADD">
      <w:pPr>
        <w:pStyle w:val="a9"/>
        <w:autoSpaceDE w:val="0"/>
        <w:autoSpaceDN w:val="0"/>
        <w:adjustRightInd w:val="0"/>
        <w:contextualSpacing w:val="0"/>
        <w:rPr>
          <w:rFonts w:ascii="Arial" w:eastAsia="TimesNewRomanPSMT" w:hAnsi="Arial" w:cs="Arial"/>
          <w:sz w:val="24"/>
          <w:szCs w:val="24"/>
          <w:lang w:eastAsia="en-US" w:bidi="hi-IN"/>
          <w14:ligatures w14:val="standardContextual"/>
        </w:rPr>
      </w:pPr>
    </w:p>
    <w:p w14:paraId="6D86CC41" w14:textId="181AB140" w:rsidR="004E151E" w:rsidRDefault="004E151E" w:rsidP="00673F74">
      <w:pPr>
        <w:pStyle w:val="2"/>
        <w:ind w:left="720" w:hanging="720"/>
      </w:pPr>
      <w:bookmarkStart w:id="13" w:name="_Toc161355125"/>
      <w:r w:rsidRPr="004E151E">
        <w:t>Alleged preferential financing</w:t>
      </w:r>
      <w:bookmarkEnd w:id="13"/>
    </w:p>
    <w:p w14:paraId="5B1B1804" w14:textId="77777777" w:rsidR="00DF2611" w:rsidRDefault="00DF2611" w:rsidP="00DF2611">
      <w:pPr>
        <w:pStyle w:val="a9"/>
        <w:autoSpaceDE w:val="0"/>
        <w:autoSpaceDN w:val="0"/>
        <w:adjustRightInd w:val="0"/>
        <w:contextualSpacing w:val="0"/>
        <w:rPr>
          <w:rFonts w:ascii="Arial" w:hAnsi="Arial" w:cs="Arial"/>
          <w:sz w:val="24"/>
          <w:szCs w:val="24"/>
        </w:rPr>
      </w:pPr>
    </w:p>
    <w:p w14:paraId="783F8C7D" w14:textId="59A647BE" w:rsidR="00FB254D" w:rsidRDefault="00184152" w:rsidP="001F79D9">
      <w:pPr>
        <w:pStyle w:val="a9"/>
        <w:numPr>
          <w:ilvl w:val="0"/>
          <w:numId w:val="39"/>
        </w:numPr>
        <w:autoSpaceDE w:val="0"/>
        <w:autoSpaceDN w:val="0"/>
        <w:adjustRightInd w:val="0"/>
        <w:ind w:hanging="720"/>
        <w:contextualSpacing w:val="0"/>
        <w:rPr>
          <w:rFonts w:ascii="Arial" w:hAnsi="Arial" w:cs="Arial"/>
          <w:sz w:val="24"/>
          <w:szCs w:val="24"/>
        </w:rPr>
      </w:pPr>
      <w:r w:rsidRPr="00184152">
        <w:rPr>
          <w:rFonts w:ascii="Arial" w:hAnsi="Arial" w:cs="Arial"/>
          <w:sz w:val="24"/>
          <w:szCs w:val="24"/>
        </w:rPr>
        <w:t xml:space="preserve">While the GOC’s AS questionnaire response gives the factual information, provided below are the GOC’s comments as regards the illegality of the investigation of the unspecified and inexistant preferential lending and the supposed government control and distortion of the financial market in China.  The GOC strongly opposes such allegations which are not rooted in facts but </w:t>
      </w:r>
      <w:r w:rsidRPr="00184152">
        <w:rPr>
          <w:rFonts w:ascii="Arial" w:hAnsi="Arial" w:cs="Arial"/>
          <w:sz w:val="24"/>
          <w:szCs w:val="24"/>
        </w:rPr>
        <w:lastRenderedPageBreak/>
        <w:t>are based on assumptions, and the misinterpretation and misrepresentation of information.</w:t>
      </w:r>
    </w:p>
    <w:p w14:paraId="1C50A2F7" w14:textId="77777777" w:rsidR="00184152" w:rsidRPr="00184152" w:rsidRDefault="00184152" w:rsidP="00184152">
      <w:pPr>
        <w:pStyle w:val="a9"/>
        <w:autoSpaceDE w:val="0"/>
        <w:autoSpaceDN w:val="0"/>
        <w:adjustRightInd w:val="0"/>
        <w:contextualSpacing w:val="0"/>
        <w:rPr>
          <w:rFonts w:ascii="Arial" w:hAnsi="Arial" w:cs="Arial"/>
          <w:sz w:val="24"/>
          <w:szCs w:val="24"/>
        </w:rPr>
      </w:pPr>
    </w:p>
    <w:p w14:paraId="2A0BA24A" w14:textId="62D226C4" w:rsidR="00FB254D" w:rsidRDefault="00FB254D" w:rsidP="00FB254D">
      <w:pPr>
        <w:pStyle w:val="3"/>
        <w:spacing w:before="0"/>
        <w:rPr>
          <w:rFonts w:ascii="Arial" w:eastAsiaTheme="minorEastAsia" w:hAnsi="Arial" w:cs="Arial"/>
          <w:b/>
          <w:bCs/>
          <w:color w:val="auto"/>
        </w:rPr>
      </w:pPr>
      <w:bookmarkStart w:id="14" w:name="_Toc161355126"/>
      <w:r w:rsidRPr="00FB254D">
        <w:rPr>
          <w:rFonts w:ascii="Arial" w:eastAsiaTheme="minorEastAsia" w:hAnsi="Arial" w:cs="Arial"/>
          <w:b/>
          <w:bCs/>
          <w:color w:val="auto"/>
        </w:rPr>
        <w:t>Alleged referential loans by state-owned commercial banks</w:t>
      </w:r>
      <w:bookmarkEnd w:id="14"/>
    </w:p>
    <w:p w14:paraId="6299E4EB" w14:textId="77777777" w:rsidR="00DF2611" w:rsidRDefault="00DF2611" w:rsidP="00DF2611">
      <w:pPr>
        <w:pStyle w:val="a9"/>
        <w:autoSpaceDE w:val="0"/>
        <w:autoSpaceDN w:val="0"/>
        <w:adjustRightInd w:val="0"/>
        <w:contextualSpacing w:val="0"/>
        <w:rPr>
          <w:rFonts w:ascii="Arial" w:hAnsi="Arial" w:cs="Arial"/>
          <w:sz w:val="24"/>
          <w:szCs w:val="24"/>
        </w:rPr>
      </w:pPr>
    </w:p>
    <w:p w14:paraId="549310B2" w14:textId="3975430C" w:rsidR="00FB254D" w:rsidRPr="008E48C8" w:rsidRDefault="00FB254D" w:rsidP="001F79D9">
      <w:pPr>
        <w:pStyle w:val="a9"/>
        <w:numPr>
          <w:ilvl w:val="0"/>
          <w:numId w:val="39"/>
        </w:numPr>
        <w:autoSpaceDE w:val="0"/>
        <w:autoSpaceDN w:val="0"/>
        <w:adjustRightInd w:val="0"/>
        <w:ind w:hanging="720"/>
        <w:contextualSpacing w:val="0"/>
        <w:rPr>
          <w:rFonts w:ascii="Arial" w:hAnsi="Arial" w:cs="Arial"/>
          <w:sz w:val="24"/>
          <w:szCs w:val="24"/>
        </w:rPr>
      </w:pPr>
      <w:r w:rsidRPr="008E48C8">
        <w:rPr>
          <w:rFonts w:ascii="Arial" w:hAnsi="Arial" w:cs="Arial"/>
          <w:sz w:val="24"/>
          <w:szCs w:val="24"/>
        </w:rPr>
        <w:t>The Applicant claims that supposed preferential lending by Chinese state-owned banks constitutes a countervailable subsidy, but acknowledges that it failed to provide any prima facie evidence as to “</w:t>
      </w:r>
      <w:r w:rsidRPr="008E48C8">
        <w:rPr>
          <w:rFonts w:ascii="Arial" w:hAnsi="Arial" w:cs="Arial"/>
          <w:i/>
          <w:iCs/>
          <w:sz w:val="24"/>
          <w:szCs w:val="24"/>
        </w:rPr>
        <w:t xml:space="preserve">the provision of such preferential loans for specific </w:t>
      </w:r>
      <w:r w:rsidR="0017259C">
        <w:rPr>
          <w:rFonts w:ascii="Arial" w:hAnsi="Arial" w:cs="Arial" w:hint="eastAsia"/>
          <w:i/>
          <w:iCs/>
          <w:sz w:val="24"/>
          <w:szCs w:val="24"/>
        </w:rPr>
        <w:t>Excavator</w:t>
      </w:r>
      <w:r w:rsidRPr="008E48C8">
        <w:rPr>
          <w:rFonts w:ascii="Arial" w:hAnsi="Arial" w:cs="Arial"/>
          <w:i/>
          <w:iCs/>
          <w:sz w:val="24"/>
          <w:szCs w:val="24"/>
        </w:rPr>
        <w:t xml:space="preserve"> producers as well as the specific preferential terms which determine the existence and amount of benefit they provide</w:t>
      </w:r>
      <w:r w:rsidRPr="008E48C8">
        <w:rPr>
          <w:rFonts w:ascii="Arial" w:hAnsi="Arial" w:cs="Arial"/>
          <w:sz w:val="24"/>
          <w:szCs w:val="24"/>
        </w:rPr>
        <w:t>”.88 Thus, the investigation into the alleged preferential lending does not satisfy the required evidentiary standards (discussed previously) and is WTO-inconsistent.</w:t>
      </w:r>
    </w:p>
    <w:p w14:paraId="28F45BF9" w14:textId="77777777" w:rsidR="00FB254D" w:rsidRPr="00FB254D" w:rsidRDefault="00FB254D" w:rsidP="00FB254D">
      <w:pPr>
        <w:pStyle w:val="a7"/>
        <w:spacing w:before="10"/>
        <w:ind w:right="95"/>
        <w:rPr>
          <w:rFonts w:ascii="Arial" w:hAnsi="Arial" w:cs="Arial"/>
          <w:sz w:val="20"/>
        </w:rPr>
      </w:pPr>
    </w:p>
    <w:p w14:paraId="41793B18" w14:textId="32AE71AA" w:rsidR="00FB254D" w:rsidRDefault="003F0A0B" w:rsidP="001F79D9">
      <w:pPr>
        <w:pStyle w:val="a9"/>
        <w:widowControl w:val="0"/>
        <w:numPr>
          <w:ilvl w:val="0"/>
          <w:numId w:val="39"/>
        </w:numPr>
        <w:tabs>
          <w:tab w:val="left" w:pos="917"/>
        </w:tabs>
        <w:autoSpaceDE w:val="0"/>
        <w:autoSpaceDN w:val="0"/>
        <w:spacing w:before="1"/>
        <w:ind w:right="95" w:hanging="720"/>
        <w:rPr>
          <w:rFonts w:ascii="Arial" w:hAnsi="Arial" w:cs="Arial"/>
          <w:sz w:val="24"/>
          <w:szCs w:val="24"/>
        </w:rPr>
      </w:pPr>
      <w:r>
        <w:rPr>
          <w:rFonts w:ascii="Arial" w:hAnsi="Arial" w:cs="Arial" w:hint="eastAsia"/>
          <w:sz w:val="24"/>
          <w:szCs w:val="24"/>
        </w:rPr>
        <w:t>T</w:t>
      </w:r>
      <w:r w:rsidR="00FB254D" w:rsidRPr="003F0A0B">
        <w:rPr>
          <w:rFonts w:ascii="Arial" w:hAnsi="Arial" w:cs="Arial"/>
          <w:sz w:val="24"/>
          <w:szCs w:val="24"/>
        </w:rPr>
        <w:t xml:space="preserve">he </w:t>
      </w:r>
      <w:bookmarkStart w:id="15" w:name="_Hlk161117917"/>
      <w:r w:rsidR="00FB254D" w:rsidRPr="003F0A0B">
        <w:rPr>
          <w:rFonts w:ascii="Arial" w:hAnsi="Arial" w:cs="Arial"/>
          <w:sz w:val="24"/>
          <w:szCs w:val="24"/>
        </w:rPr>
        <w:t>GOC respectfully submits that the Applicant has misrepresented the relationship between state-owned commercial banks and the GOC to claim that state-owned commercial banks are “public bodies”.</w:t>
      </w:r>
      <w:bookmarkEnd w:id="15"/>
    </w:p>
    <w:p w14:paraId="474E0C0C" w14:textId="77777777" w:rsidR="003F0A0B" w:rsidRPr="003F0A0B" w:rsidRDefault="003F0A0B" w:rsidP="003F0A0B">
      <w:pPr>
        <w:pStyle w:val="a9"/>
        <w:rPr>
          <w:rFonts w:ascii="Arial" w:hAnsi="Arial" w:cs="Arial"/>
          <w:sz w:val="24"/>
          <w:szCs w:val="24"/>
        </w:rPr>
      </w:pPr>
    </w:p>
    <w:p w14:paraId="4F9D92EC" w14:textId="77777777" w:rsidR="00FB254D" w:rsidRPr="00FB254D" w:rsidRDefault="00FB254D" w:rsidP="001F79D9">
      <w:pPr>
        <w:pStyle w:val="a9"/>
        <w:widowControl w:val="0"/>
        <w:numPr>
          <w:ilvl w:val="0"/>
          <w:numId w:val="39"/>
        </w:numPr>
        <w:tabs>
          <w:tab w:val="left" w:pos="917"/>
        </w:tabs>
        <w:autoSpaceDE w:val="0"/>
        <w:autoSpaceDN w:val="0"/>
        <w:ind w:right="95" w:hanging="720"/>
        <w:contextualSpacing w:val="0"/>
        <w:rPr>
          <w:rFonts w:ascii="Arial" w:hAnsi="Arial" w:cs="Arial"/>
          <w:sz w:val="24"/>
        </w:rPr>
      </w:pPr>
      <w:bookmarkStart w:id="16" w:name="_Hlk161117957"/>
      <w:r w:rsidRPr="00FB254D">
        <w:rPr>
          <w:rFonts w:ascii="Arial" w:hAnsi="Arial" w:cs="Arial"/>
          <w:sz w:val="24"/>
        </w:rPr>
        <w:t>First,</w:t>
      </w:r>
      <w:r w:rsidRPr="00FB254D">
        <w:rPr>
          <w:rFonts w:ascii="Arial" w:hAnsi="Arial" w:cs="Arial"/>
          <w:spacing w:val="-7"/>
          <w:sz w:val="24"/>
        </w:rPr>
        <w:t xml:space="preserve"> </w:t>
      </w:r>
      <w:r w:rsidRPr="00FB254D">
        <w:rPr>
          <w:rFonts w:ascii="Arial" w:hAnsi="Arial" w:cs="Arial"/>
          <w:sz w:val="24"/>
        </w:rPr>
        <w:t>it</w:t>
      </w:r>
      <w:r w:rsidRPr="00FB254D">
        <w:rPr>
          <w:rFonts w:ascii="Arial" w:hAnsi="Arial" w:cs="Arial"/>
          <w:spacing w:val="-6"/>
          <w:sz w:val="24"/>
        </w:rPr>
        <w:t xml:space="preserve"> </w:t>
      </w:r>
      <w:r w:rsidRPr="00FB254D">
        <w:rPr>
          <w:rFonts w:ascii="Arial" w:hAnsi="Arial" w:cs="Arial"/>
          <w:sz w:val="24"/>
        </w:rPr>
        <w:t>is</w:t>
      </w:r>
      <w:r w:rsidRPr="00FB254D">
        <w:rPr>
          <w:rFonts w:ascii="Arial" w:hAnsi="Arial" w:cs="Arial"/>
          <w:spacing w:val="-6"/>
          <w:sz w:val="24"/>
        </w:rPr>
        <w:t xml:space="preserve"> </w:t>
      </w:r>
      <w:r w:rsidRPr="00FB254D">
        <w:rPr>
          <w:rFonts w:ascii="Arial" w:hAnsi="Arial" w:cs="Arial"/>
          <w:sz w:val="24"/>
        </w:rPr>
        <w:t>recalled</w:t>
      </w:r>
      <w:r w:rsidRPr="00FB254D">
        <w:rPr>
          <w:rFonts w:ascii="Arial" w:hAnsi="Arial" w:cs="Arial"/>
          <w:spacing w:val="-6"/>
          <w:sz w:val="24"/>
        </w:rPr>
        <w:t xml:space="preserve"> </w:t>
      </w:r>
      <w:r w:rsidRPr="00FB254D">
        <w:rPr>
          <w:rFonts w:ascii="Arial" w:hAnsi="Arial" w:cs="Arial"/>
          <w:sz w:val="24"/>
        </w:rPr>
        <w:t>that</w:t>
      </w:r>
      <w:r w:rsidRPr="00FB254D">
        <w:rPr>
          <w:rFonts w:ascii="Arial" w:hAnsi="Arial" w:cs="Arial"/>
          <w:spacing w:val="-7"/>
          <w:sz w:val="24"/>
        </w:rPr>
        <w:t xml:space="preserve"> </w:t>
      </w:r>
      <w:r w:rsidRPr="00FB254D">
        <w:rPr>
          <w:rFonts w:ascii="Arial" w:hAnsi="Arial" w:cs="Arial"/>
          <w:sz w:val="24"/>
        </w:rPr>
        <w:t>the</w:t>
      </w:r>
      <w:r w:rsidRPr="00FB254D">
        <w:rPr>
          <w:rFonts w:ascii="Arial" w:hAnsi="Arial" w:cs="Arial"/>
          <w:spacing w:val="-19"/>
          <w:sz w:val="24"/>
        </w:rPr>
        <w:t xml:space="preserve"> </w:t>
      </w:r>
      <w:r w:rsidRPr="00FB254D">
        <w:rPr>
          <w:rFonts w:ascii="Arial" w:hAnsi="Arial" w:cs="Arial"/>
          <w:sz w:val="24"/>
        </w:rPr>
        <w:t>Appellate</w:t>
      </w:r>
      <w:r w:rsidRPr="00FB254D">
        <w:rPr>
          <w:rFonts w:ascii="Arial" w:hAnsi="Arial" w:cs="Arial"/>
          <w:spacing w:val="-7"/>
          <w:sz w:val="24"/>
        </w:rPr>
        <w:t xml:space="preserve"> </w:t>
      </w:r>
      <w:r w:rsidRPr="00FB254D">
        <w:rPr>
          <w:rFonts w:ascii="Arial" w:hAnsi="Arial" w:cs="Arial"/>
          <w:sz w:val="24"/>
        </w:rPr>
        <w:t>Body</w:t>
      </w:r>
      <w:r w:rsidRPr="00FB254D">
        <w:rPr>
          <w:rFonts w:ascii="Arial" w:hAnsi="Arial" w:cs="Arial"/>
          <w:spacing w:val="-6"/>
          <w:sz w:val="24"/>
        </w:rPr>
        <w:t xml:space="preserve"> </w:t>
      </w:r>
      <w:r w:rsidRPr="00FB254D">
        <w:rPr>
          <w:rFonts w:ascii="Arial" w:hAnsi="Arial" w:cs="Arial"/>
          <w:sz w:val="24"/>
        </w:rPr>
        <w:t>in</w:t>
      </w:r>
      <w:r w:rsidRPr="00FB254D">
        <w:rPr>
          <w:rFonts w:ascii="Arial" w:hAnsi="Arial" w:cs="Arial"/>
          <w:spacing w:val="-6"/>
          <w:sz w:val="24"/>
        </w:rPr>
        <w:t xml:space="preserve"> </w:t>
      </w:r>
      <w:r w:rsidRPr="00FB254D">
        <w:rPr>
          <w:rFonts w:ascii="Arial" w:hAnsi="Arial" w:cs="Arial"/>
          <w:i/>
          <w:sz w:val="24"/>
        </w:rPr>
        <w:t>US</w:t>
      </w:r>
      <w:r w:rsidRPr="00FB254D">
        <w:rPr>
          <w:rFonts w:ascii="Arial" w:hAnsi="Arial" w:cs="Arial"/>
          <w:i/>
          <w:spacing w:val="-6"/>
          <w:sz w:val="24"/>
        </w:rPr>
        <w:t xml:space="preserve"> </w:t>
      </w:r>
      <w:r w:rsidRPr="00FB254D">
        <w:rPr>
          <w:rFonts w:ascii="Arial" w:hAnsi="Arial" w:cs="Arial"/>
          <w:i/>
          <w:sz w:val="24"/>
        </w:rPr>
        <w:t>–</w:t>
      </w:r>
      <w:r w:rsidRPr="00FB254D">
        <w:rPr>
          <w:rFonts w:ascii="Arial" w:hAnsi="Arial" w:cs="Arial"/>
          <w:i/>
          <w:spacing w:val="-4"/>
          <w:sz w:val="24"/>
        </w:rPr>
        <w:t xml:space="preserve"> </w:t>
      </w:r>
      <w:r w:rsidRPr="00FB254D">
        <w:rPr>
          <w:rFonts w:ascii="Arial" w:hAnsi="Arial" w:cs="Arial"/>
          <w:i/>
          <w:sz w:val="24"/>
        </w:rPr>
        <w:t>Carbon</w:t>
      </w:r>
      <w:r w:rsidRPr="00FB254D">
        <w:rPr>
          <w:rFonts w:ascii="Arial" w:hAnsi="Arial" w:cs="Arial"/>
          <w:i/>
          <w:spacing w:val="-6"/>
          <w:sz w:val="24"/>
        </w:rPr>
        <w:t xml:space="preserve"> </w:t>
      </w:r>
      <w:r w:rsidRPr="00FB254D">
        <w:rPr>
          <w:rFonts w:ascii="Arial" w:hAnsi="Arial" w:cs="Arial"/>
          <w:i/>
          <w:sz w:val="24"/>
        </w:rPr>
        <w:t>Steel</w:t>
      </w:r>
      <w:r w:rsidRPr="00FB254D">
        <w:rPr>
          <w:rFonts w:ascii="Arial" w:hAnsi="Arial" w:cs="Arial"/>
          <w:i/>
          <w:spacing w:val="-7"/>
          <w:sz w:val="24"/>
        </w:rPr>
        <w:t xml:space="preserve"> </w:t>
      </w:r>
      <w:r w:rsidRPr="00FB254D">
        <w:rPr>
          <w:rFonts w:ascii="Arial" w:hAnsi="Arial" w:cs="Arial"/>
          <w:i/>
          <w:sz w:val="24"/>
        </w:rPr>
        <w:t>(India)</w:t>
      </w:r>
      <w:r w:rsidRPr="00FB254D">
        <w:rPr>
          <w:rFonts w:ascii="Arial" w:hAnsi="Arial" w:cs="Arial"/>
          <w:sz w:val="24"/>
        </w:rPr>
        <w:t>,</w:t>
      </w:r>
      <w:r w:rsidRPr="00FB254D">
        <w:rPr>
          <w:rFonts w:ascii="Arial" w:hAnsi="Arial" w:cs="Arial"/>
          <w:spacing w:val="-6"/>
          <w:sz w:val="24"/>
        </w:rPr>
        <w:t xml:space="preserve"> </w:t>
      </w:r>
      <w:r w:rsidRPr="00FB254D">
        <w:rPr>
          <w:rFonts w:ascii="Arial" w:hAnsi="Arial" w:cs="Arial"/>
          <w:sz w:val="24"/>
        </w:rPr>
        <w:t>clearly</w:t>
      </w:r>
      <w:r w:rsidRPr="00FB254D">
        <w:rPr>
          <w:rFonts w:ascii="Arial" w:hAnsi="Arial" w:cs="Arial"/>
          <w:spacing w:val="-7"/>
          <w:sz w:val="24"/>
        </w:rPr>
        <w:t xml:space="preserve"> </w:t>
      </w:r>
      <w:r w:rsidRPr="00FB254D">
        <w:rPr>
          <w:rFonts w:ascii="Arial" w:hAnsi="Arial" w:cs="Arial"/>
          <w:sz w:val="24"/>
        </w:rPr>
        <w:t>established</w:t>
      </w:r>
      <w:r w:rsidRPr="00FB254D">
        <w:rPr>
          <w:rFonts w:ascii="Arial" w:hAnsi="Arial" w:cs="Arial"/>
          <w:spacing w:val="-7"/>
          <w:sz w:val="24"/>
        </w:rPr>
        <w:t xml:space="preserve"> </w:t>
      </w:r>
      <w:r w:rsidRPr="00FB254D">
        <w:rPr>
          <w:rFonts w:ascii="Arial" w:hAnsi="Arial" w:cs="Arial"/>
          <w:sz w:val="24"/>
        </w:rPr>
        <w:t>the below-mentioned criteria for assessing the existence of a “public</w:t>
      </w:r>
      <w:r w:rsidRPr="00FB254D">
        <w:rPr>
          <w:rFonts w:ascii="Arial" w:hAnsi="Arial" w:cs="Arial"/>
          <w:spacing w:val="-9"/>
          <w:sz w:val="24"/>
        </w:rPr>
        <w:t xml:space="preserve"> </w:t>
      </w:r>
      <w:r w:rsidRPr="00FB254D">
        <w:rPr>
          <w:rFonts w:ascii="Arial" w:hAnsi="Arial" w:cs="Arial"/>
          <w:sz w:val="24"/>
        </w:rPr>
        <w:t>body”:</w:t>
      </w:r>
    </w:p>
    <w:p w14:paraId="6B1A3EF3" w14:textId="77777777" w:rsidR="00FB254D" w:rsidRPr="00FB254D" w:rsidRDefault="00FB254D" w:rsidP="00FB254D">
      <w:pPr>
        <w:ind w:left="1482" w:right="95"/>
        <w:rPr>
          <w:rFonts w:ascii="Arial" w:hAnsi="Arial" w:cs="Arial"/>
          <w:i/>
          <w:sz w:val="24"/>
        </w:rPr>
      </w:pPr>
      <w:r w:rsidRPr="00FB254D">
        <w:rPr>
          <w:rFonts w:ascii="Arial" w:hAnsi="Arial" w:cs="Arial"/>
          <w:sz w:val="24"/>
        </w:rPr>
        <w:t>“</w:t>
      </w:r>
      <w:r w:rsidRPr="00FB254D">
        <w:rPr>
          <w:rFonts w:ascii="Arial" w:hAnsi="Arial" w:cs="Arial"/>
          <w:i/>
          <w:sz w:val="24"/>
        </w:rPr>
        <w:t>4.36.</w:t>
      </w:r>
      <w:r w:rsidRPr="00FB254D">
        <w:rPr>
          <w:rFonts w:ascii="Arial" w:hAnsi="Arial" w:cs="Arial"/>
          <w:i/>
          <w:spacing w:val="-11"/>
          <w:sz w:val="24"/>
        </w:rPr>
        <w:t xml:space="preserve"> </w:t>
      </w:r>
      <w:r w:rsidRPr="00FB254D">
        <w:rPr>
          <w:rFonts w:ascii="Arial" w:hAnsi="Arial" w:cs="Arial"/>
          <w:i/>
          <w:spacing w:val="-12"/>
          <w:sz w:val="24"/>
        </w:rPr>
        <w:t>We</w:t>
      </w:r>
      <w:r w:rsidRPr="00FB254D">
        <w:rPr>
          <w:rFonts w:ascii="Arial" w:hAnsi="Arial" w:cs="Arial"/>
          <w:i/>
          <w:spacing w:val="-10"/>
          <w:sz w:val="24"/>
        </w:rPr>
        <w:t xml:space="preserve"> </w:t>
      </w:r>
      <w:r w:rsidRPr="00FB254D">
        <w:rPr>
          <w:rFonts w:ascii="Arial" w:hAnsi="Arial" w:cs="Arial"/>
          <w:i/>
          <w:sz w:val="24"/>
        </w:rPr>
        <w:t>believe</w:t>
      </w:r>
      <w:r w:rsidRPr="00FB254D">
        <w:rPr>
          <w:rFonts w:ascii="Arial" w:hAnsi="Arial" w:cs="Arial"/>
          <w:i/>
          <w:spacing w:val="-11"/>
          <w:sz w:val="24"/>
        </w:rPr>
        <w:t xml:space="preserve"> </w:t>
      </w:r>
      <w:r w:rsidRPr="00FB254D">
        <w:rPr>
          <w:rFonts w:ascii="Arial" w:hAnsi="Arial" w:cs="Arial"/>
          <w:i/>
          <w:sz w:val="24"/>
        </w:rPr>
        <w:t>that</w:t>
      </w:r>
      <w:r w:rsidRPr="00FB254D">
        <w:rPr>
          <w:rFonts w:ascii="Arial" w:hAnsi="Arial" w:cs="Arial"/>
          <w:i/>
          <w:spacing w:val="-10"/>
          <w:sz w:val="24"/>
        </w:rPr>
        <w:t xml:space="preserve"> </w:t>
      </w:r>
      <w:r w:rsidRPr="00FB254D">
        <w:rPr>
          <w:rFonts w:ascii="Arial" w:hAnsi="Arial" w:cs="Arial"/>
          <w:i/>
          <w:sz w:val="24"/>
        </w:rPr>
        <w:t>the</w:t>
      </w:r>
      <w:r w:rsidRPr="00FB254D">
        <w:rPr>
          <w:rFonts w:ascii="Arial" w:hAnsi="Arial" w:cs="Arial"/>
          <w:i/>
          <w:spacing w:val="-8"/>
          <w:sz w:val="24"/>
        </w:rPr>
        <w:t xml:space="preserve"> </w:t>
      </w:r>
      <w:r w:rsidRPr="00FB254D">
        <w:rPr>
          <w:rFonts w:ascii="Arial" w:hAnsi="Arial" w:cs="Arial"/>
          <w:i/>
          <w:sz w:val="24"/>
        </w:rPr>
        <w:t>Panel,</w:t>
      </w:r>
      <w:r w:rsidRPr="00FB254D">
        <w:rPr>
          <w:rFonts w:ascii="Arial" w:hAnsi="Arial" w:cs="Arial"/>
          <w:i/>
          <w:spacing w:val="-11"/>
          <w:sz w:val="24"/>
        </w:rPr>
        <w:t xml:space="preserve"> </w:t>
      </w:r>
      <w:r w:rsidRPr="00FB254D">
        <w:rPr>
          <w:rFonts w:ascii="Arial" w:hAnsi="Arial" w:cs="Arial"/>
          <w:i/>
          <w:sz w:val="24"/>
        </w:rPr>
        <w:t>in</w:t>
      </w:r>
      <w:r w:rsidRPr="00FB254D">
        <w:rPr>
          <w:rFonts w:ascii="Arial" w:hAnsi="Arial" w:cs="Arial"/>
          <w:i/>
          <w:spacing w:val="-10"/>
          <w:sz w:val="24"/>
        </w:rPr>
        <w:t xml:space="preserve"> </w:t>
      </w:r>
      <w:r w:rsidRPr="00FB254D">
        <w:rPr>
          <w:rFonts w:ascii="Arial" w:hAnsi="Arial" w:cs="Arial"/>
          <w:i/>
          <w:sz w:val="24"/>
        </w:rPr>
        <w:t>grappling</w:t>
      </w:r>
      <w:r w:rsidRPr="00FB254D">
        <w:rPr>
          <w:rFonts w:ascii="Arial" w:hAnsi="Arial" w:cs="Arial"/>
          <w:i/>
          <w:spacing w:val="-11"/>
          <w:sz w:val="24"/>
        </w:rPr>
        <w:t xml:space="preserve"> </w:t>
      </w:r>
      <w:r w:rsidRPr="00FB254D">
        <w:rPr>
          <w:rFonts w:ascii="Arial" w:hAnsi="Arial" w:cs="Arial"/>
          <w:i/>
          <w:sz w:val="24"/>
        </w:rPr>
        <w:t>with</w:t>
      </w:r>
      <w:r w:rsidRPr="00FB254D">
        <w:rPr>
          <w:rFonts w:ascii="Arial" w:hAnsi="Arial" w:cs="Arial"/>
          <w:i/>
          <w:spacing w:val="-8"/>
          <w:sz w:val="24"/>
        </w:rPr>
        <w:t xml:space="preserve"> </w:t>
      </w:r>
      <w:r w:rsidRPr="00FB254D">
        <w:rPr>
          <w:rFonts w:ascii="Arial" w:hAnsi="Arial" w:cs="Arial"/>
          <w:i/>
          <w:sz w:val="24"/>
        </w:rPr>
        <w:t>the</w:t>
      </w:r>
      <w:r w:rsidRPr="00FB254D">
        <w:rPr>
          <w:rFonts w:ascii="Arial" w:hAnsi="Arial" w:cs="Arial"/>
          <w:i/>
          <w:spacing w:val="-11"/>
          <w:sz w:val="24"/>
        </w:rPr>
        <w:t xml:space="preserve"> </w:t>
      </w:r>
      <w:r w:rsidRPr="00FB254D">
        <w:rPr>
          <w:rFonts w:ascii="Arial" w:hAnsi="Arial" w:cs="Arial"/>
          <w:i/>
          <w:sz w:val="24"/>
        </w:rPr>
        <w:t>case-by-case</w:t>
      </w:r>
      <w:r w:rsidRPr="00FB254D">
        <w:rPr>
          <w:rFonts w:ascii="Arial" w:hAnsi="Arial" w:cs="Arial"/>
          <w:i/>
          <w:spacing w:val="-12"/>
          <w:sz w:val="24"/>
        </w:rPr>
        <w:t xml:space="preserve"> </w:t>
      </w:r>
      <w:r w:rsidRPr="00FB254D">
        <w:rPr>
          <w:rFonts w:ascii="Arial" w:hAnsi="Arial" w:cs="Arial"/>
          <w:i/>
          <w:sz w:val="24"/>
        </w:rPr>
        <w:t>nature</w:t>
      </w:r>
      <w:r w:rsidRPr="00FB254D">
        <w:rPr>
          <w:rFonts w:ascii="Arial" w:hAnsi="Arial" w:cs="Arial"/>
          <w:i/>
          <w:spacing w:val="-11"/>
          <w:sz w:val="24"/>
        </w:rPr>
        <w:t xml:space="preserve"> </w:t>
      </w:r>
      <w:r w:rsidRPr="00FB254D">
        <w:rPr>
          <w:rFonts w:ascii="Arial" w:hAnsi="Arial" w:cs="Arial"/>
          <w:i/>
          <w:sz w:val="24"/>
        </w:rPr>
        <w:t>of</w:t>
      </w:r>
      <w:r w:rsidRPr="00FB254D">
        <w:rPr>
          <w:rFonts w:ascii="Arial" w:hAnsi="Arial" w:cs="Arial"/>
          <w:i/>
          <w:spacing w:val="-11"/>
          <w:sz w:val="24"/>
        </w:rPr>
        <w:t xml:space="preserve"> </w:t>
      </w:r>
      <w:r w:rsidRPr="00FB254D">
        <w:rPr>
          <w:rFonts w:ascii="Arial" w:hAnsi="Arial" w:cs="Arial"/>
          <w:i/>
          <w:sz w:val="24"/>
        </w:rPr>
        <w:t>public</w:t>
      </w:r>
      <w:r w:rsidRPr="00FB254D">
        <w:rPr>
          <w:rFonts w:ascii="Arial" w:hAnsi="Arial" w:cs="Arial"/>
          <w:i/>
          <w:spacing w:val="-11"/>
          <w:sz w:val="24"/>
        </w:rPr>
        <w:t xml:space="preserve"> </w:t>
      </w:r>
      <w:r w:rsidRPr="00FB254D">
        <w:rPr>
          <w:rFonts w:ascii="Arial" w:hAnsi="Arial" w:cs="Arial"/>
          <w:i/>
          <w:sz w:val="24"/>
        </w:rPr>
        <w:t xml:space="preserve">body determinations, </w:t>
      </w:r>
      <w:r w:rsidRPr="00FB254D">
        <w:rPr>
          <w:rFonts w:ascii="Arial" w:hAnsi="Arial" w:cs="Arial"/>
          <w:i/>
          <w:sz w:val="24"/>
          <w:u w:val="single"/>
        </w:rPr>
        <w:t>correctly articulated the appropriate standard when it observed that</w:t>
      </w:r>
      <w:r w:rsidRPr="00FB254D">
        <w:rPr>
          <w:rFonts w:ascii="Arial" w:hAnsi="Arial" w:cs="Arial"/>
          <w:i/>
          <w:sz w:val="24"/>
        </w:rPr>
        <w:t xml:space="preserve"> </w:t>
      </w:r>
      <w:r w:rsidRPr="00FB254D">
        <w:rPr>
          <w:rFonts w:ascii="Arial" w:hAnsi="Arial" w:cs="Arial"/>
          <w:i/>
          <w:sz w:val="24"/>
          <w:u w:val="single"/>
        </w:rPr>
        <w:t>“evidence</w:t>
      </w:r>
      <w:r w:rsidRPr="00FB254D">
        <w:rPr>
          <w:rFonts w:ascii="Arial" w:hAnsi="Arial" w:cs="Arial"/>
          <w:i/>
          <w:spacing w:val="-6"/>
          <w:sz w:val="24"/>
          <w:u w:val="single"/>
        </w:rPr>
        <w:t xml:space="preserve"> </w:t>
      </w:r>
      <w:r w:rsidRPr="00FB254D">
        <w:rPr>
          <w:rFonts w:ascii="Arial" w:hAnsi="Arial" w:cs="Arial"/>
          <w:i/>
          <w:sz w:val="24"/>
          <w:u w:val="single"/>
        </w:rPr>
        <w:t>that</w:t>
      </w:r>
      <w:r w:rsidRPr="00FB254D">
        <w:rPr>
          <w:rFonts w:ascii="Arial" w:hAnsi="Arial" w:cs="Arial"/>
          <w:i/>
          <w:spacing w:val="-7"/>
          <w:sz w:val="24"/>
          <w:u w:val="single"/>
        </w:rPr>
        <w:t xml:space="preserve"> </w:t>
      </w:r>
      <w:r w:rsidRPr="00FB254D">
        <w:rPr>
          <w:rFonts w:ascii="Arial" w:hAnsi="Arial" w:cs="Arial"/>
          <w:i/>
          <w:sz w:val="24"/>
          <w:u w:val="single"/>
        </w:rPr>
        <w:t>a</w:t>
      </w:r>
      <w:r w:rsidRPr="00FB254D">
        <w:rPr>
          <w:rFonts w:ascii="Arial" w:hAnsi="Arial" w:cs="Arial"/>
          <w:i/>
          <w:spacing w:val="-6"/>
          <w:sz w:val="24"/>
          <w:u w:val="single"/>
        </w:rPr>
        <w:t xml:space="preserve"> </w:t>
      </w:r>
      <w:r w:rsidRPr="00FB254D">
        <w:rPr>
          <w:rFonts w:ascii="Arial" w:hAnsi="Arial" w:cs="Arial"/>
          <w:i/>
          <w:sz w:val="24"/>
          <w:u w:val="single"/>
        </w:rPr>
        <w:t>government</w:t>
      </w:r>
      <w:r w:rsidRPr="00FB254D">
        <w:rPr>
          <w:rFonts w:ascii="Arial" w:hAnsi="Arial" w:cs="Arial"/>
          <w:i/>
          <w:spacing w:val="-5"/>
          <w:sz w:val="24"/>
          <w:u w:val="single"/>
        </w:rPr>
        <w:t xml:space="preserve"> </w:t>
      </w:r>
      <w:r w:rsidRPr="00FB254D">
        <w:rPr>
          <w:rFonts w:ascii="Arial" w:hAnsi="Arial" w:cs="Arial"/>
          <w:b/>
          <w:i/>
          <w:sz w:val="24"/>
          <w:u w:val="single"/>
        </w:rPr>
        <w:t>exercises</w:t>
      </w:r>
      <w:r w:rsidRPr="00FB254D">
        <w:rPr>
          <w:rFonts w:ascii="Arial" w:hAnsi="Arial" w:cs="Arial"/>
          <w:b/>
          <w:i/>
          <w:spacing w:val="-5"/>
          <w:sz w:val="24"/>
          <w:u w:val="single"/>
        </w:rPr>
        <w:t xml:space="preserve"> </w:t>
      </w:r>
      <w:r w:rsidRPr="00FB254D">
        <w:rPr>
          <w:rFonts w:ascii="Arial" w:hAnsi="Arial" w:cs="Arial"/>
          <w:i/>
          <w:sz w:val="24"/>
          <w:u w:val="single"/>
        </w:rPr>
        <w:t>meaningful</w:t>
      </w:r>
      <w:r w:rsidRPr="00FB254D">
        <w:rPr>
          <w:rFonts w:ascii="Arial" w:hAnsi="Arial" w:cs="Arial"/>
          <w:i/>
          <w:spacing w:val="-7"/>
          <w:sz w:val="24"/>
          <w:u w:val="single"/>
        </w:rPr>
        <w:t xml:space="preserve"> </w:t>
      </w:r>
      <w:r w:rsidRPr="00FB254D">
        <w:rPr>
          <w:rFonts w:ascii="Arial" w:hAnsi="Arial" w:cs="Arial"/>
          <w:i/>
          <w:sz w:val="24"/>
          <w:u w:val="single"/>
        </w:rPr>
        <w:t>control</w:t>
      </w:r>
      <w:r w:rsidRPr="00FB254D">
        <w:rPr>
          <w:rFonts w:ascii="Arial" w:hAnsi="Arial" w:cs="Arial"/>
          <w:i/>
          <w:spacing w:val="-6"/>
          <w:sz w:val="24"/>
          <w:u w:val="single"/>
        </w:rPr>
        <w:t xml:space="preserve"> </w:t>
      </w:r>
      <w:r w:rsidRPr="00FB254D">
        <w:rPr>
          <w:rFonts w:ascii="Arial" w:hAnsi="Arial" w:cs="Arial"/>
          <w:i/>
          <w:sz w:val="24"/>
          <w:u w:val="single"/>
        </w:rPr>
        <w:t>over</w:t>
      </w:r>
      <w:r w:rsidRPr="00FB254D">
        <w:rPr>
          <w:rFonts w:ascii="Arial" w:hAnsi="Arial" w:cs="Arial"/>
          <w:i/>
          <w:spacing w:val="-7"/>
          <w:sz w:val="24"/>
          <w:u w:val="single"/>
        </w:rPr>
        <w:t xml:space="preserve"> </w:t>
      </w:r>
      <w:r w:rsidRPr="00FB254D">
        <w:rPr>
          <w:rFonts w:ascii="Arial" w:hAnsi="Arial" w:cs="Arial"/>
          <w:i/>
          <w:sz w:val="24"/>
          <w:u w:val="single"/>
        </w:rPr>
        <w:t>an</w:t>
      </w:r>
      <w:r w:rsidRPr="00FB254D">
        <w:rPr>
          <w:rFonts w:ascii="Arial" w:hAnsi="Arial" w:cs="Arial"/>
          <w:i/>
          <w:spacing w:val="-5"/>
          <w:sz w:val="24"/>
          <w:u w:val="single"/>
        </w:rPr>
        <w:t xml:space="preserve"> </w:t>
      </w:r>
      <w:r w:rsidRPr="00FB254D">
        <w:rPr>
          <w:rFonts w:ascii="Arial" w:hAnsi="Arial" w:cs="Arial"/>
          <w:i/>
          <w:sz w:val="24"/>
          <w:u w:val="single"/>
        </w:rPr>
        <w:t>entity</w:t>
      </w:r>
      <w:r w:rsidRPr="00FB254D">
        <w:rPr>
          <w:rFonts w:ascii="Arial" w:hAnsi="Arial" w:cs="Arial"/>
          <w:i/>
          <w:spacing w:val="-4"/>
          <w:sz w:val="24"/>
          <w:u w:val="single"/>
        </w:rPr>
        <w:t xml:space="preserve"> </w:t>
      </w:r>
      <w:r w:rsidRPr="00FB254D">
        <w:rPr>
          <w:rFonts w:ascii="Arial" w:hAnsi="Arial" w:cs="Arial"/>
          <w:i/>
          <w:sz w:val="24"/>
          <w:u w:val="single"/>
        </w:rPr>
        <w:t>and</w:t>
      </w:r>
      <w:r w:rsidRPr="00FB254D">
        <w:rPr>
          <w:rFonts w:ascii="Arial" w:hAnsi="Arial" w:cs="Arial"/>
          <w:i/>
          <w:spacing w:val="-7"/>
          <w:sz w:val="24"/>
          <w:u w:val="single"/>
        </w:rPr>
        <w:t xml:space="preserve"> </w:t>
      </w:r>
      <w:r w:rsidRPr="00FB254D">
        <w:rPr>
          <w:rFonts w:ascii="Arial" w:hAnsi="Arial" w:cs="Arial"/>
          <w:i/>
          <w:sz w:val="24"/>
          <w:u w:val="single"/>
        </w:rPr>
        <w:t>its</w:t>
      </w:r>
      <w:r w:rsidRPr="00FB254D">
        <w:rPr>
          <w:rFonts w:ascii="Arial" w:hAnsi="Arial" w:cs="Arial"/>
          <w:i/>
          <w:spacing w:val="-5"/>
          <w:sz w:val="24"/>
          <w:u w:val="single"/>
        </w:rPr>
        <w:t xml:space="preserve"> </w:t>
      </w:r>
      <w:r w:rsidRPr="00FB254D">
        <w:rPr>
          <w:rFonts w:ascii="Arial" w:hAnsi="Arial" w:cs="Arial"/>
          <w:b/>
          <w:i/>
          <w:sz w:val="24"/>
          <w:u w:val="single"/>
        </w:rPr>
        <w:t>conduct</w:t>
      </w:r>
      <w:r w:rsidRPr="00FB254D">
        <w:rPr>
          <w:rFonts w:ascii="Arial" w:hAnsi="Arial" w:cs="Arial"/>
          <w:b/>
          <w:i/>
          <w:sz w:val="24"/>
        </w:rPr>
        <w:t xml:space="preserve"> </w:t>
      </w:r>
      <w:r w:rsidRPr="00FB254D">
        <w:rPr>
          <w:rFonts w:ascii="Arial" w:hAnsi="Arial" w:cs="Arial"/>
          <w:i/>
          <w:sz w:val="24"/>
          <w:u w:val="single"/>
        </w:rPr>
        <w:t>may serve, in certain circumstances, as evidence that the relevant entity possesses</w:t>
      </w:r>
      <w:r w:rsidRPr="00FB254D">
        <w:rPr>
          <w:rFonts w:ascii="Arial" w:hAnsi="Arial" w:cs="Arial"/>
          <w:i/>
          <w:sz w:val="24"/>
        </w:rPr>
        <w:t xml:space="preserve"> </w:t>
      </w:r>
      <w:r w:rsidRPr="00FB254D">
        <w:rPr>
          <w:rFonts w:ascii="Arial" w:hAnsi="Arial" w:cs="Arial"/>
          <w:i/>
          <w:sz w:val="24"/>
          <w:u w:val="single"/>
        </w:rPr>
        <w:t>governmental</w:t>
      </w:r>
      <w:r w:rsidRPr="00FB254D">
        <w:rPr>
          <w:rFonts w:ascii="Arial" w:hAnsi="Arial" w:cs="Arial"/>
          <w:i/>
          <w:spacing w:val="-9"/>
          <w:sz w:val="24"/>
          <w:u w:val="single"/>
        </w:rPr>
        <w:t xml:space="preserve"> </w:t>
      </w:r>
      <w:r w:rsidRPr="00FB254D">
        <w:rPr>
          <w:rFonts w:ascii="Arial" w:hAnsi="Arial" w:cs="Arial"/>
          <w:i/>
          <w:sz w:val="24"/>
          <w:u w:val="single"/>
        </w:rPr>
        <w:t>authority</w:t>
      </w:r>
      <w:r w:rsidRPr="00FB254D">
        <w:rPr>
          <w:rFonts w:ascii="Arial" w:hAnsi="Arial" w:cs="Arial"/>
          <w:i/>
          <w:spacing w:val="-10"/>
          <w:sz w:val="24"/>
          <w:u w:val="single"/>
        </w:rPr>
        <w:t xml:space="preserve"> </w:t>
      </w:r>
      <w:r w:rsidRPr="00FB254D">
        <w:rPr>
          <w:rFonts w:ascii="Arial" w:hAnsi="Arial" w:cs="Arial"/>
          <w:i/>
          <w:sz w:val="24"/>
          <w:u w:val="single"/>
        </w:rPr>
        <w:t>and</w:t>
      </w:r>
      <w:r w:rsidRPr="00FB254D">
        <w:rPr>
          <w:rFonts w:ascii="Arial" w:hAnsi="Arial" w:cs="Arial"/>
          <w:i/>
          <w:spacing w:val="-8"/>
          <w:sz w:val="24"/>
          <w:u w:val="single"/>
        </w:rPr>
        <w:t xml:space="preserve"> </w:t>
      </w:r>
      <w:r w:rsidRPr="00FB254D">
        <w:rPr>
          <w:rFonts w:ascii="Arial" w:hAnsi="Arial" w:cs="Arial"/>
          <w:i/>
          <w:sz w:val="24"/>
          <w:u w:val="single"/>
        </w:rPr>
        <w:t>exercises</w:t>
      </w:r>
      <w:r w:rsidRPr="00FB254D">
        <w:rPr>
          <w:rFonts w:ascii="Arial" w:hAnsi="Arial" w:cs="Arial"/>
          <w:i/>
          <w:spacing w:val="-9"/>
          <w:sz w:val="24"/>
          <w:u w:val="single"/>
        </w:rPr>
        <w:t xml:space="preserve"> </w:t>
      </w:r>
      <w:r w:rsidRPr="00FB254D">
        <w:rPr>
          <w:rFonts w:ascii="Arial" w:hAnsi="Arial" w:cs="Arial"/>
          <w:i/>
          <w:sz w:val="24"/>
          <w:u w:val="single"/>
        </w:rPr>
        <w:t>such</w:t>
      </w:r>
      <w:r w:rsidRPr="00FB254D">
        <w:rPr>
          <w:rFonts w:ascii="Arial" w:hAnsi="Arial" w:cs="Arial"/>
          <w:i/>
          <w:spacing w:val="-9"/>
          <w:sz w:val="24"/>
          <w:u w:val="single"/>
        </w:rPr>
        <w:t xml:space="preserve"> </w:t>
      </w:r>
      <w:r w:rsidRPr="00FB254D">
        <w:rPr>
          <w:rFonts w:ascii="Arial" w:hAnsi="Arial" w:cs="Arial"/>
          <w:i/>
          <w:sz w:val="24"/>
          <w:u w:val="single"/>
        </w:rPr>
        <w:t>authority</w:t>
      </w:r>
      <w:r w:rsidRPr="00FB254D">
        <w:rPr>
          <w:rFonts w:ascii="Arial" w:hAnsi="Arial" w:cs="Arial"/>
          <w:i/>
          <w:spacing w:val="-9"/>
          <w:sz w:val="24"/>
          <w:u w:val="single"/>
        </w:rPr>
        <w:t xml:space="preserve"> </w:t>
      </w:r>
      <w:r w:rsidRPr="00FB254D">
        <w:rPr>
          <w:rFonts w:ascii="Arial" w:hAnsi="Arial" w:cs="Arial"/>
          <w:i/>
          <w:sz w:val="24"/>
          <w:u w:val="single"/>
        </w:rPr>
        <w:t>in</w:t>
      </w:r>
      <w:r w:rsidRPr="00FB254D">
        <w:rPr>
          <w:rFonts w:ascii="Arial" w:hAnsi="Arial" w:cs="Arial"/>
          <w:i/>
          <w:spacing w:val="-9"/>
          <w:sz w:val="24"/>
          <w:u w:val="single"/>
        </w:rPr>
        <w:t xml:space="preserve"> </w:t>
      </w:r>
      <w:r w:rsidRPr="00FB254D">
        <w:rPr>
          <w:rFonts w:ascii="Arial" w:hAnsi="Arial" w:cs="Arial"/>
          <w:i/>
          <w:sz w:val="24"/>
          <w:u w:val="single"/>
        </w:rPr>
        <w:t>the</w:t>
      </w:r>
      <w:r w:rsidRPr="00FB254D">
        <w:rPr>
          <w:rFonts w:ascii="Arial" w:hAnsi="Arial" w:cs="Arial"/>
          <w:i/>
          <w:spacing w:val="-10"/>
          <w:sz w:val="24"/>
          <w:u w:val="single"/>
        </w:rPr>
        <w:t xml:space="preserve"> </w:t>
      </w:r>
      <w:r w:rsidRPr="00FB254D">
        <w:rPr>
          <w:rFonts w:ascii="Arial" w:hAnsi="Arial" w:cs="Arial"/>
          <w:i/>
          <w:sz w:val="24"/>
          <w:u w:val="single"/>
        </w:rPr>
        <w:t>performance</w:t>
      </w:r>
      <w:r w:rsidRPr="00FB254D">
        <w:rPr>
          <w:rFonts w:ascii="Arial" w:hAnsi="Arial" w:cs="Arial"/>
          <w:i/>
          <w:spacing w:val="-9"/>
          <w:sz w:val="24"/>
          <w:u w:val="single"/>
        </w:rPr>
        <w:t xml:space="preserve"> </w:t>
      </w:r>
      <w:r w:rsidRPr="00FB254D">
        <w:rPr>
          <w:rFonts w:ascii="Arial" w:hAnsi="Arial" w:cs="Arial"/>
          <w:i/>
          <w:sz w:val="24"/>
          <w:u w:val="single"/>
        </w:rPr>
        <w:t>of</w:t>
      </w:r>
      <w:r w:rsidRPr="00FB254D">
        <w:rPr>
          <w:rFonts w:ascii="Arial" w:hAnsi="Arial" w:cs="Arial"/>
          <w:i/>
          <w:spacing w:val="-11"/>
          <w:sz w:val="24"/>
          <w:u w:val="single"/>
        </w:rPr>
        <w:t xml:space="preserve"> </w:t>
      </w:r>
      <w:r w:rsidRPr="00FB254D">
        <w:rPr>
          <w:rFonts w:ascii="Arial" w:hAnsi="Arial" w:cs="Arial"/>
          <w:i/>
          <w:sz w:val="24"/>
          <w:u w:val="single"/>
        </w:rPr>
        <w:t>governmental</w:t>
      </w:r>
      <w:r w:rsidRPr="00FB254D">
        <w:rPr>
          <w:rFonts w:ascii="Arial" w:hAnsi="Arial" w:cs="Arial"/>
          <w:i/>
          <w:sz w:val="24"/>
        </w:rPr>
        <w:t xml:space="preserve"> </w:t>
      </w:r>
      <w:r w:rsidRPr="00FB254D">
        <w:rPr>
          <w:rFonts w:ascii="Arial" w:hAnsi="Arial" w:cs="Arial"/>
          <w:i/>
          <w:sz w:val="24"/>
          <w:u w:val="single"/>
        </w:rPr>
        <w:t xml:space="preserve">functions.” </w:t>
      </w:r>
      <w:r w:rsidRPr="00FB254D">
        <w:rPr>
          <w:rFonts w:ascii="Arial" w:hAnsi="Arial" w:cs="Arial"/>
          <w:i/>
          <w:spacing w:val="-5"/>
          <w:sz w:val="24"/>
          <w:u w:val="single"/>
        </w:rPr>
        <w:t xml:space="preserve">However, </w:t>
      </w:r>
      <w:r w:rsidRPr="00FB254D">
        <w:rPr>
          <w:rFonts w:ascii="Arial" w:hAnsi="Arial" w:cs="Arial"/>
          <w:i/>
          <w:sz w:val="24"/>
          <w:u w:val="single"/>
        </w:rPr>
        <w:t xml:space="preserve">the Panel </w:t>
      </w:r>
      <w:r w:rsidRPr="00FB254D">
        <w:rPr>
          <w:rFonts w:ascii="Arial" w:hAnsi="Arial" w:cs="Arial"/>
          <w:i/>
          <w:spacing w:val="-3"/>
          <w:sz w:val="24"/>
          <w:u w:val="single"/>
        </w:rPr>
        <w:t xml:space="preserve">erred </w:t>
      </w:r>
      <w:r w:rsidRPr="00FB254D">
        <w:rPr>
          <w:rFonts w:ascii="Arial" w:hAnsi="Arial" w:cs="Arial"/>
          <w:i/>
          <w:sz w:val="24"/>
          <w:u w:val="single"/>
        </w:rPr>
        <w:t>in its substantive interpretation of Article 1.1(a)(1)</w:t>
      </w:r>
      <w:r w:rsidRPr="00FB254D">
        <w:rPr>
          <w:rFonts w:ascii="Arial" w:hAnsi="Arial" w:cs="Arial"/>
          <w:i/>
          <w:sz w:val="24"/>
        </w:rPr>
        <w:t xml:space="preserve"> </w:t>
      </w:r>
      <w:r w:rsidRPr="00FB254D">
        <w:rPr>
          <w:rFonts w:ascii="Arial" w:hAnsi="Arial" w:cs="Arial"/>
          <w:i/>
          <w:sz w:val="24"/>
          <w:u w:val="single"/>
        </w:rPr>
        <w:t xml:space="preserve">by construing the term “public body” to mean </w:t>
      </w:r>
      <w:r w:rsidRPr="00FB254D">
        <w:rPr>
          <w:rFonts w:ascii="Arial" w:hAnsi="Arial" w:cs="Arial"/>
          <w:b/>
          <w:i/>
          <w:sz w:val="24"/>
          <w:u w:val="single"/>
        </w:rPr>
        <w:t xml:space="preserve">any </w:t>
      </w:r>
      <w:r w:rsidRPr="00FB254D">
        <w:rPr>
          <w:rFonts w:ascii="Arial" w:hAnsi="Arial" w:cs="Arial"/>
          <w:i/>
          <w:sz w:val="24"/>
          <w:u w:val="single"/>
        </w:rPr>
        <w:t>entity that is “meaningfully</w:t>
      </w:r>
      <w:r w:rsidRPr="00FB254D">
        <w:rPr>
          <w:rFonts w:ascii="Arial" w:hAnsi="Arial" w:cs="Arial"/>
          <w:i/>
          <w:sz w:val="24"/>
        </w:rPr>
        <w:t xml:space="preserve"> </w:t>
      </w:r>
      <w:r w:rsidRPr="00FB254D">
        <w:rPr>
          <w:rFonts w:ascii="Arial" w:hAnsi="Arial" w:cs="Arial"/>
          <w:i/>
          <w:sz w:val="24"/>
          <w:u w:val="single"/>
        </w:rPr>
        <w:t>controlled” by a government.</w:t>
      </w:r>
      <w:r w:rsidRPr="00FB254D">
        <w:rPr>
          <w:rFonts w:ascii="Arial" w:hAnsi="Arial" w:cs="Arial"/>
          <w:i/>
          <w:sz w:val="24"/>
        </w:rPr>
        <w:t xml:space="preserve"> Consequently, </w:t>
      </w:r>
      <w:r w:rsidRPr="00FB254D">
        <w:rPr>
          <w:rFonts w:ascii="Arial" w:hAnsi="Arial" w:cs="Arial"/>
          <w:i/>
          <w:sz w:val="24"/>
          <w:u w:val="single"/>
        </w:rPr>
        <w:t xml:space="preserve">the Panel </w:t>
      </w:r>
      <w:r w:rsidRPr="00FB254D">
        <w:rPr>
          <w:rFonts w:ascii="Arial" w:hAnsi="Arial" w:cs="Arial"/>
          <w:i/>
          <w:spacing w:val="-3"/>
          <w:sz w:val="24"/>
          <w:u w:val="single"/>
        </w:rPr>
        <w:lastRenderedPageBreak/>
        <w:t xml:space="preserve">erred </w:t>
      </w:r>
      <w:r w:rsidRPr="00FB254D">
        <w:rPr>
          <w:rFonts w:ascii="Arial" w:hAnsi="Arial" w:cs="Arial"/>
          <w:i/>
          <w:sz w:val="24"/>
          <w:u w:val="single"/>
        </w:rPr>
        <w:t>in its application of Article</w:t>
      </w:r>
      <w:r w:rsidRPr="00FB254D">
        <w:rPr>
          <w:rFonts w:ascii="Arial" w:hAnsi="Arial" w:cs="Arial"/>
          <w:i/>
          <w:sz w:val="24"/>
        </w:rPr>
        <w:t xml:space="preserve"> </w:t>
      </w:r>
      <w:r w:rsidRPr="00FB254D">
        <w:rPr>
          <w:rFonts w:ascii="Arial" w:hAnsi="Arial" w:cs="Arial"/>
          <w:i/>
          <w:sz w:val="24"/>
          <w:u w:val="single"/>
        </w:rPr>
        <w:t>1.1(a)(1) to the USDOC's public body determination in the underlying investigation, in</w:t>
      </w:r>
      <w:r w:rsidRPr="00FB254D">
        <w:rPr>
          <w:rFonts w:ascii="Arial" w:hAnsi="Arial" w:cs="Arial"/>
          <w:i/>
          <w:sz w:val="24"/>
        </w:rPr>
        <w:t xml:space="preserve"> </w:t>
      </w:r>
      <w:r w:rsidRPr="00FB254D">
        <w:rPr>
          <w:rFonts w:ascii="Arial" w:hAnsi="Arial" w:cs="Arial"/>
          <w:i/>
          <w:sz w:val="24"/>
          <w:u w:val="single"/>
        </w:rPr>
        <w:t>effect treating the GOI's ability to control the NMDC as determinative for purposes of</w:t>
      </w:r>
      <w:r w:rsidRPr="00FB254D">
        <w:rPr>
          <w:rFonts w:ascii="Arial" w:hAnsi="Arial" w:cs="Arial"/>
          <w:i/>
          <w:sz w:val="24"/>
        </w:rPr>
        <w:t xml:space="preserve"> </w:t>
      </w:r>
      <w:r w:rsidRPr="00FB254D">
        <w:rPr>
          <w:rFonts w:ascii="Arial" w:hAnsi="Arial" w:cs="Arial"/>
          <w:i/>
          <w:sz w:val="24"/>
          <w:u w:val="single"/>
        </w:rPr>
        <w:t>establishing whether the NMDC constitutes a public body</w:t>
      </w:r>
      <w:r w:rsidRPr="00FB254D">
        <w:rPr>
          <w:rFonts w:ascii="Arial" w:hAnsi="Arial" w:cs="Arial"/>
          <w:i/>
          <w:sz w:val="24"/>
        </w:rPr>
        <w:t xml:space="preserve">. </w:t>
      </w:r>
      <w:r w:rsidRPr="00FB254D">
        <w:rPr>
          <w:rFonts w:ascii="Arial" w:hAnsi="Arial" w:cs="Arial"/>
          <w:i/>
          <w:spacing w:val="-5"/>
          <w:sz w:val="24"/>
        </w:rPr>
        <w:t xml:space="preserve">Moreover, </w:t>
      </w:r>
      <w:r w:rsidRPr="00FB254D">
        <w:rPr>
          <w:rFonts w:ascii="Arial" w:hAnsi="Arial" w:cs="Arial"/>
          <w:i/>
          <w:sz w:val="24"/>
        </w:rPr>
        <w:t>the Panel failed properly</w:t>
      </w:r>
      <w:r w:rsidRPr="00FB254D">
        <w:rPr>
          <w:rFonts w:ascii="Arial" w:hAnsi="Arial" w:cs="Arial"/>
          <w:i/>
          <w:spacing w:val="-8"/>
          <w:sz w:val="24"/>
        </w:rPr>
        <w:t xml:space="preserve"> </w:t>
      </w:r>
      <w:r w:rsidRPr="00FB254D">
        <w:rPr>
          <w:rFonts w:ascii="Arial" w:hAnsi="Arial" w:cs="Arial"/>
          <w:i/>
          <w:sz w:val="24"/>
        </w:rPr>
        <w:t>to</w:t>
      </w:r>
      <w:r w:rsidRPr="00FB254D">
        <w:rPr>
          <w:rFonts w:ascii="Arial" w:hAnsi="Arial" w:cs="Arial"/>
          <w:i/>
          <w:spacing w:val="-7"/>
          <w:sz w:val="24"/>
        </w:rPr>
        <w:t xml:space="preserve"> </w:t>
      </w:r>
      <w:r w:rsidRPr="00FB254D">
        <w:rPr>
          <w:rFonts w:ascii="Arial" w:hAnsi="Arial" w:cs="Arial"/>
          <w:i/>
          <w:sz w:val="24"/>
        </w:rPr>
        <w:t>consider</w:t>
      </w:r>
      <w:r w:rsidRPr="00FB254D">
        <w:rPr>
          <w:rFonts w:ascii="Arial" w:hAnsi="Arial" w:cs="Arial"/>
          <w:i/>
          <w:spacing w:val="-4"/>
          <w:sz w:val="24"/>
        </w:rPr>
        <w:t xml:space="preserve"> </w:t>
      </w:r>
      <w:r w:rsidRPr="00FB254D">
        <w:rPr>
          <w:rFonts w:ascii="Arial" w:hAnsi="Arial" w:cs="Arial"/>
          <w:i/>
          <w:sz w:val="24"/>
        </w:rPr>
        <w:t>whether</w:t>
      </w:r>
      <w:r w:rsidRPr="00FB254D">
        <w:rPr>
          <w:rFonts w:ascii="Arial" w:hAnsi="Arial" w:cs="Arial"/>
          <w:i/>
          <w:spacing w:val="-7"/>
          <w:sz w:val="24"/>
        </w:rPr>
        <w:t xml:space="preserve"> </w:t>
      </w:r>
      <w:r w:rsidRPr="00FB254D">
        <w:rPr>
          <w:rFonts w:ascii="Arial" w:hAnsi="Arial" w:cs="Arial"/>
          <w:i/>
          <w:sz w:val="24"/>
        </w:rPr>
        <w:t>the</w:t>
      </w:r>
      <w:r w:rsidRPr="00FB254D">
        <w:rPr>
          <w:rFonts w:ascii="Arial" w:hAnsi="Arial" w:cs="Arial"/>
          <w:i/>
          <w:spacing w:val="-7"/>
          <w:sz w:val="24"/>
        </w:rPr>
        <w:t xml:space="preserve"> </w:t>
      </w:r>
      <w:r w:rsidRPr="00FB254D">
        <w:rPr>
          <w:rFonts w:ascii="Arial" w:hAnsi="Arial" w:cs="Arial"/>
          <w:i/>
          <w:sz w:val="24"/>
        </w:rPr>
        <w:t>USDOC</w:t>
      </w:r>
      <w:r w:rsidRPr="00FB254D">
        <w:rPr>
          <w:rFonts w:ascii="Arial" w:hAnsi="Arial" w:cs="Arial"/>
          <w:i/>
          <w:spacing w:val="-7"/>
          <w:sz w:val="24"/>
        </w:rPr>
        <w:t xml:space="preserve"> </w:t>
      </w:r>
      <w:r w:rsidRPr="00FB254D">
        <w:rPr>
          <w:rFonts w:ascii="Arial" w:hAnsi="Arial" w:cs="Arial"/>
          <w:i/>
          <w:sz w:val="24"/>
        </w:rPr>
        <w:t>had</w:t>
      </w:r>
      <w:r w:rsidRPr="00FB254D">
        <w:rPr>
          <w:rFonts w:ascii="Arial" w:hAnsi="Arial" w:cs="Arial"/>
          <w:i/>
          <w:spacing w:val="-7"/>
          <w:sz w:val="24"/>
        </w:rPr>
        <w:t xml:space="preserve"> </w:t>
      </w:r>
      <w:r w:rsidRPr="00FB254D">
        <w:rPr>
          <w:rFonts w:ascii="Arial" w:hAnsi="Arial" w:cs="Arial"/>
          <w:i/>
          <w:sz w:val="24"/>
        </w:rPr>
        <w:t>adequately</w:t>
      </w:r>
      <w:r w:rsidRPr="00FB254D">
        <w:rPr>
          <w:rFonts w:ascii="Arial" w:hAnsi="Arial" w:cs="Arial"/>
          <w:i/>
          <w:spacing w:val="-7"/>
          <w:sz w:val="24"/>
        </w:rPr>
        <w:t xml:space="preserve"> </w:t>
      </w:r>
      <w:r w:rsidRPr="00FB254D">
        <w:rPr>
          <w:rFonts w:ascii="Arial" w:hAnsi="Arial" w:cs="Arial"/>
          <w:i/>
          <w:sz w:val="24"/>
        </w:rPr>
        <w:t>explained</w:t>
      </w:r>
      <w:r w:rsidRPr="00FB254D">
        <w:rPr>
          <w:rFonts w:ascii="Arial" w:hAnsi="Arial" w:cs="Arial"/>
          <w:i/>
          <w:spacing w:val="-5"/>
          <w:sz w:val="24"/>
        </w:rPr>
        <w:t xml:space="preserve"> </w:t>
      </w:r>
      <w:r w:rsidRPr="00FB254D">
        <w:rPr>
          <w:rFonts w:ascii="Arial" w:hAnsi="Arial" w:cs="Arial"/>
          <w:i/>
          <w:sz w:val="24"/>
        </w:rPr>
        <w:t>and</w:t>
      </w:r>
      <w:r w:rsidRPr="00FB254D">
        <w:rPr>
          <w:rFonts w:ascii="Arial" w:hAnsi="Arial" w:cs="Arial"/>
          <w:i/>
          <w:spacing w:val="-6"/>
          <w:sz w:val="24"/>
        </w:rPr>
        <w:t xml:space="preserve"> </w:t>
      </w:r>
      <w:r w:rsidRPr="00FB254D">
        <w:rPr>
          <w:rFonts w:ascii="Arial" w:hAnsi="Arial" w:cs="Arial"/>
          <w:i/>
          <w:sz w:val="24"/>
        </w:rPr>
        <w:t>supported,</w:t>
      </w:r>
      <w:r w:rsidRPr="00FB254D">
        <w:rPr>
          <w:rFonts w:ascii="Arial" w:hAnsi="Arial" w:cs="Arial"/>
          <w:i/>
          <w:spacing w:val="-7"/>
          <w:sz w:val="24"/>
        </w:rPr>
        <w:t xml:space="preserve"> </w:t>
      </w:r>
      <w:r w:rsidRPr="00FB254D">
        <w:rPr>
          <w:rFonts w:ascii="Arial" w:hAnsi="Arial" w:cs="Arial"/>
          <w:i/>
          <w:sz w:val="24"/>
        </w:rPr>
        <w:t>in</w:t>
      </w:r>
      <w:r w:rsidRPr="00FB254D">
        <w:rPr>
          <w:rFonts w:ascii="Arial" w:hAnsi="Arial" w:cs="Arial"/>
          <w:i/>
          <w:spacing w:val="-7"/>
          <w:sz w:val="24"/>
        </w:rPr>
        <w:t xml:space="preserve"> </w:t>
      </w:r>
      <w:r w:rsidRPr="00FB254D">
        <w:rPr>
          <w:rFonts w:ascii="Arial" w:hAnsi="Arial" w:cs="Arial"/>
          <w:i/>
          <w:sz w:val="24"/>
        </w:rPr>
        <w:t>its written determination, the basis for its finding that the NMDC is a public</w:t>
      </w:r>
      <w:r w:rsidRPr="00FB254D">
        <w:rPr>
          <w:rFonts w:ascii="Arial" w:hAnsi="Arial" w:cs="Arial"/>
          <w:i/>
          <w:spacing w:val="-13"/>
          <w:sz w:val="24"/>
        </w:rPr>
        <w:t xml:space="preserve"> </w:t>
      </w:r>
      <w:r w:rsidRPr="00FB254D">
        <w:rPr>
          <w:rFonts w:ascii="Arial" w:hAnsi="Arial" w:cs="Arial"/>
          <w:i/>
          <w:spacing w:val="-3"/>
          <w:sz w:val="24"/>
        </w:rPr>
        <w:t>body.</w:t>
      </w:r>
    </w:p>
    <w:p w14:paraId="68EDDA99" w14:textId="77777777" w:rsidR="00FB254D" w:rsidRPr="00FB254D" w:rsidRDefault="00FB254D" w:rsidP="00FB254D">
      <w:pPr>
        <w:pStyle w:val="a7"/>
        <w:ind w:right="95"/>
        <w:rPr>
          <w:rFonts w:ascii="Arial" w:hAnsi="Arial" w:cs="Arial"/>
          <w:i/>
          <w:sz w:val="21"/>
        </w:rPr>
      </w:pPr>
    </w:p>
    <w:p w14:paraId="2219D87E" w14:textId="411CD204" w:rsidR="00FB254D" w:rsidRDefault="00FB254D" w:rsidP="003F0A0B">
      <w:pPr>
        <w:ind w:left="1440" w:right="95"/>
        <w:rPr>
          <w:rFonts w:ascii="Arial" w:hAnsi="Arial" w:cs="Arial"/>
          <w:sz w:val="24"/>
        </w:rPr>
      </w:pPr>
      <w:r w:rsidRPr="00FB254D">
        <w:rPr>
          <w:rFonts w:ascii="Arial" w:hAnsi="Arial" w:cs="Arial"/>
          <w:i/>
          <w:sz w:val="24"/>
        </w:rPr>
        <w:t xml:space="preserve">4.37. </w:t>
      </w:r>
      <w:r w:rsidRPr="00FB254D">
        <w:rPr>
          <w:rFonts w:ascii="Arial" w:hAnsi="Arial" w:cs="Arial"/>
          <w:i/>
          <w:sz w:val="24"/>
          <w:u w:val="single"/>
        </w:rPr>
        <w:t>As noted above, the Appellate Body has explained that the term public body in</w:t>
      </w:r>
      <w:r w:rsidRPr="00FB254D">
        <w:rPr>
          <w:rFonts w:ascii="Arial" w:hAnsi="Arial" w:cs="Arial"/>
          <w:i/>
          <w:sz w:val="24"/>
        </w:rPr>
        <w:t xml:space="preserve"> </w:t>
      </w:r>
      <w:r w:rsidRPr="00FB254D">
        <w:rPr>
          <w:rFonts w:ascii="Arial" w:hAnsi="Arial" w:cs="Arial"/>
          <w:i/>
          <w:sz w:val="24"/>
          <w:u w:val="single"/>
        </w:rPr>
        <w:t>Article</w:t>
      </w:r>
      <w:r w:rsidRPr="00FB254D">
        <w:rPr>
          <w:rFonts w:ascii="Arial" w:hAnsi="Arial" w:cs="Arial"/>
          <w:i/>
          <w:spacing w:val="-7"/>
          <w:sz w:val="24"/>
          <w:u w:val="single"/>
        </w:rPr>
        <w:t xml:space="preserve"> </w:t>
      </w:r>
      <w:r w:rsidRPr="00FB254D">
        <w:rPr>
          <w:rFonts w:ascii="Arial" w:hAnsi="Arial" w:cs="Arial"/>
          <w:i/>
          <w:sz w:val="24"/>
          <w:u w:val="single"/>
        </w:rPr>
        <w:t>1.1(a)(1)</w:t>
      </w:r>
      <w:r w:rsidRPr="00FB254D">
        <w:rPr>
          <w:rFonts w:ascii="Arial" w:hAnsi="Arial" w:cs="Arial"/>
          <w:i/>
          <w:spacing w:val="-6"/>
          <w:sz w:val="24"/>
          <w:u w:val="single"/>
        </w:rPr>
        <w:t xml:space="preserve"> </w:t>
      </w:r>
      <w:r w:rsidRPr="00FB254D">
        <w:rPr>
          <w:rFonts w:ascii="Arial" w:hAnsi="Arial" w:cs="Arial"/>
          <w:i/>
          <w:sz w:val="24"/>
          <w:u w:val="single"/>
        </w:rPr>
        <w:t>of</w:t>
      </w:r>
      <w:r w:rsidRPr="00FB254D">
        <w:rPr>
          <w:rFonts w:ascii="Arial" w:hAnsi="Arial" w:cs="Arial"/>
          <w:i/>
          <w:spacing w:val="-5"/>
          <w:sz w:val="24"/>
          <w:u w:val="single"/>
        </w:rPr>
        <w:t xml:space="preserve"> </w:t>
      </w:r>
      <w:r w:rsidRPr="00FB254D">
        <w:rPr>
          <w:rFonts w:ascii="Arial" w:hAnsi="Arial" w:cs="Arial"/>
          <w:i/>
          <w:sz w:val="24"/>
          <w:u w:val="single"/>
        </w:rPr>
        <w:t>the</w:t>
      </w:r>
      <w:r w:rsidRPr="00FB254D">
        <w:rPr>
          <w:rFonts w:ascii="Arial" w:hAnsi="Arial" w:cs="Arial"/>
          <w:i/>
          <w:spacing w:val="-7"/>
          <w:sz w:val="24"/>
          <w:u w:val="single"/>
        </w:rPr>
        <w:t xml:space="preserve"> </w:t>
      </w:r>
      <w:r w:rsidRPr="00FB254D">
        <w:rPr>
          <w:rFonts w:ascii="Arial" w:hAnsi="Arial" w:cs="Arial"/>
          <w:i/>
          <w:sz w:val="24"/>
          <w:u w:val="single"/>
        </w:rPr>
        <w:t>SCM</w:t>
      </w:r>
      <w:r w:rsidRPr="00FB254D">
        <w:rPr>
          <w:rFonts w:ascii="Arial" w:hAnsi="Arial" w:cs="Arial"/>
          <w:i/>
          <w:spacing w:val="-6"/>
          <w:sz w:val="24"/>
          <w:u w:val="single"/>
        </w:rPr>
        <w:t xml:space="preserve"> </w:t>
      </w:r>
      <w:r w:rsidRPr="00FB254D">
        <w:rPr>
          <w:rFonts w:ascii="Arial" w:hAnsi="Arial" w:cs="Arial"/>
          <w:i/>
          <w:sz w:val="24"/>
          <w:u w:val="single"/>
        </w:rPr>
        <w:t>Agreement</w:t>
      </w:r>
      <w:r w:rsidRPr="00FB254D">
        <w:rPr>
          <w:rFonts w:ascii="Arial" w:hAnsi="Arial" w:cs="Arial"/>
          <w:i/>
          <w:spacing w:val="-6"/>
          <w:sz w:val="24"/>
          <w:u w:val="single"/>
        </w:rPr>
        <w:t xml:space="preserve"> </w:t>
      </w:r>
      <w:r w:rsidRPr="00FB254D">
        <w:rPr>
          <w:rFonts w:ascii="Arial" w:hAnsi="Arial" w:cs="Arial"/>
          <w:i/>
          <w:sz w:val="24"/>
          <w:u w:val="single"/>
        </w:rPr>
        <w:t>means</w:t>
      </w:r>
      <w:r w:rsidRPr="00FB254D">
        <w:rPr>
          <w:rFonts w:ascii="Arial" w:hAnsi="Arial" w:cs="Arial"/>
          <w:i/>
          <w:spacing w:val="-3"/>
          <w:sz w:val="24"/>
          <w:u w:val="single"/>
        </w:rPr>
        <w:t xml:space="preserve"> </w:t>
      </w:r>
      <w:r w:rsidRPr="00FB254D">
        <w:rPr>
          <w:rFonts w:ascii="Arial" w:hAnsi="Arial" w:cs="Arial"/>
          <w:i/>
          <w:sz w:val="24"/>
          <w:u w:val="single"/>
        </w:rPr>
        <w:t>“an</w:t>
      </w:r>
      <w:r w:rsidRPr="00FB254D">
        <w:rPr>
          <w:rFonts w:ascii="Arial" w:hAnsi="Arial" w:cs="Arial"/>
          <w:i/>
          <w:spacing w:val="-5"/>
          <w:sz w:val="24"/>
          <w:u w:val="single"/>
        </w:rPr>
        <w:t xml:space="preserve"> </w:t>
      </w:r>
      <w:r w:rsidRPr="00FB254D">
        <w:rPr>
          <w:rFonts w:ascii="Arial" w:hAnsi="Arial" w:cs="Arial"/>
          <w:i/>
          <w:sz w:val="24"/>
          <w:u w:val="single"/>
        </w:rPr>
        <w:t>entity</w:t>
      </w:r>
      <w:r w:rsidRPr="00FB254D">
        <w:rPr>
          <w:rFonts w:ascii="Arial" w:hAnsi="Arial" w:cs="Arial"/>
          <w:i/>
          <w:spacing w:val="-7"/>
          <w:sz w:val="24"/>
          <w:u w:val="single"/>
        </w:rPr>
        <w:t xml:space="preserve"> </w:t>
      </w:r>
      <w:r w:rsidRPr="00FB254D">
        <w:rPr>
          <w:rFonts w:ascii="Arial" w:hAnsi="Arial" w:cs="Arial"/>
          <w:i/>
          <w:sz w:val="24"/>
          <w:u w:val="single"/>
        </w:rPr>
        <w:t>that</w:t>
      </w:r>
      <w:r w:rsidRPr="00FB254D">
        <w:rPr>
          <w:rFonts w:ascii="Arial" w:hAnsi="Arial" w:cs="Arial"/>
          <w:i/>
          <w:spacing w:val="-5"/>
          <w:sz w:val="24"/>
          <w:u w:val="single"/>
        </w:rPr>
        <w:t xml:space="preserve"> </w:t>
      </w:r>
      <w:r w:rsidRPr="00FB254D">
        <w:rPr>
          <w:rFonts w:ascii="Arial" w:hAnsi="Arial" w:cs="Arial"/>
          <w:i/>
          <w:sz w:val="24"/>
          <w:u w:val="single"/>
        </w:rPr>
        <w:t>possesses,</w:t>
      </w:r>
      <w:r w:rsidRPr="00FB254D">
        <w:rPr>
          <w:rFonts w:ascii="Arial" w:hAnsi="Arial" w:cs="Arial"/>
          <w:i/>
          <w:spacing w:val="-5"/>
          <w:sz w:val="24"/>
          <w:u w:val="single"/>
        </w:rPr>
        <w:t xml:space="preserve"> </w:t>
      </w:r>
      <w:r w:rsidRPr="00FB254D">
        <w:rPr>
          <w:rFonts w:ascii="Arial" w:hAnsi="Arial" w:cs="Arial"/>
          <w:i/>
          <w:sz w:val="24"/>
          <w:u w:val="single"/>
        </w:rPr>
        <w:t>exercises</w:t>
      </w:r>
      <w:r w:rsidRPr="00FB254D">
        <w:rPr>
          <w:rFonts w:ascii="Arial" w:hAnsi="Arial" w:cs="Arial"/>
          <w:i/>
          <w:spacing w:val="-6"/>
          <w:sz w:val="24"/>
          <w:u w:val="single"/>
        </w:rPr>
        <w:t xml:space="preserve"> </w:t>
      </w:r>
      <w:r w:rsidRPr="00FB254D">
        <w:rPr>
          <w:rFonts w:ascii="Arial" w:hAnsi="Arial" w:cs="Arial"/>
          <w:i/>
          <w:sz w:val="24"/>
          <w:u w:val="single"/>
        </w:rPr>
        <w:t>or</w:t>
      </w:r>
      <w:r w:rsidRPr="00FB254D">
        <w:rPr>
          <w:rFonts w:ascii="Arial" w:hAnsi="Arial" w:cs="Arial"/>
          <w:i/>
          <w:spacing w:val="-5"/>
          <w:sz w:val="24"/>
          <w:u w:val="single"/>
        </w:rPr>
        <w:t xml:space="preserve"> </w:t>
      </w:r>
      <w:r w:rsidRPr="00FB254D">
        <w:rPr>
          <w:rFonts w:ascii="Arial" w:hAnsi="Arial" w:cs="Arial"/>
          <w:i/>
          <w:sz w:val="24"/>
          <w:u w:val="single"/>
        </w:rPr>
        <w:t>is</w:t>
      </w:r>
      <w:r w:rsidRPr="00FB254D">
        <w:rPr>
          <w:rFonts w:ascii="Arial" w:hAnsi="Arial" w:cs="Arial"/>
          <w:i/>
          <w:sz w:val="24"/>
        </w:rPr>
        <w:t xml:space="preserve"> </w:t>
      </w:r>
      <w:r w:rsidRPr="00FB254D">
        <w:rPr>
          <w:rFonts w:ascii="Arial" w:hAnsi="Arial" w:cs="Arial"/>
          <w:i/>
          <w:sz w:val="24"/>
          <w:u w:val="single"/>
        </w:rPr>
        <w:t xml:space="preserve">vested with governmental authority.” The </w:t>
      </w:r>
      <w:r w:rsidRPr="00FB254D">
        <w:rPr>
          <w:rFonts w:ascii="Arial" w:hAnsi="Arial" w:cs="Arial"/>
          <w:b/>
          <w:i/>
          <w:sz w:val="24"/>
          <w:u w:val="single"/>
        </w:rPr>
        <w:t xml:space="preserve">substantive legal question </w:t>
      </w:r>
      <w:r w:rsidRPr="00FB254D">
        <w:rPr>
          <w:rFonts w:ascii="Arial" w:hAnsi="Arial" w:cs="Arial"/>
          <w:i/>
          <w:sz w:val="24"/>
          <w:u w:val="single"/>
        </w:rPr>
        <w:t>to be answered is</w:t>
      </w:r>
      <w:r w:rsidRPr="00FB254D">
        <w:rPr>
          <w:rFonts w:ascii="Arial" w:hAnsi="Arial" w:cs="Arial"/>
          <w:i/>
          <w:sz w:val="24"/>
        </w:rPr>
        <w:t xml:space="preserve"> </w:t>
      </w:r>
      <w:r w:rsidRPr="00FB254D">
        <w:rPr>
          <w:rFonts w:ascii="Arial" w:hAnsi="Arial" w:cs="Arial"/>
          <w:i/>
          <w:sz w:val="24"/>
          <w:u w:val="single"/>
        </w:rPr>
        <w:t>therefore whether one or more of these characteristics exist in a particular case. This</w:t>
      </w:r>
      <w:r w:rsidRPr="00FB254D">
        <w:rPr>
          <w:rFonts w:ascii="Arial" w:hAnsi="Arial" w:cs="Arial"/>
          <w:i/>
          <w:sz w:val="24"/>
        </w:rPr>
        <w:t xml:space="preserve"> </w:t>
      </w:r>
      <w:r w:rsidRPr="00FB254D">
        <w:rPr>
          <w:rFonts w:ascii="Arial" w:hAnsi="Arial" w:cs="Arial"/>
          <w:b/>
          <w:i/>
          <w:sz w:val="24"/>
          <w:u w:val="single"/>
        </w:rPr>
        <w:t xml:space="preserve">substantive standard </w:t>
      </w:r>
      <w:r w:rsidRPr="00FB254D">
        <w:rPr>
          <w:rFonts w:ascii="Arial" w:hAnsi="Arial" w:cs="Arial"/>
          <w:i/>
          <w:sz w:val="24"/>
          <w:u w:val="single"/>
        </w:rPr>
        <w:t xml:space="preserve">should not be confused with the </w:t>
      </w:r>
      <w:r w:rsidRPr="00FB254D">
        <w:rPr>
          <w:rFonts w:ascii="Arial" w:hAnsi="Arial" w:cs="Arial"/>
          <w:b/>
          <w:i/>
          <w:sz w:val="24"/>
          <w:u w:val="single"/>
        </w:rPr>
        <w:t xml:space="preserve">evidentiary standard </w:t>
      </w:r>
      <w:r w:rsidRPr="00FB254D">
        <w:rPr>
          <w:rFonts w:ascii="Arial" w:hAnsi="Arial" w:cs="Arial"/>
          <w:i/>
          <w:sz w:val="24"/>
          <w:u w:val="single"/>
        </w:rPr>
        <w:t>required to</w:t>
      </w:r>
      <w:r w:rsidRPr="00FB254D">
        <w:rPr>
          <w:rFonts w:ascii="Arial" w:hAnsi="Arial" w:cs="Arial"/>
          <w:i/>
          <w:sz w:val="24"/>
        </w:rPr>
        <w:t xml:space="preserve"> </w:t>
      </w:r>
      <w:r w:rsidRPr="00FB254D">
        <w:rPr>
          <w:rFonts w:ascii="Arial" w:hAnsi="Arial" w:cs="Arial"/>
          <w:i/>
          <w:sz w:val="24"/>
          <w:u w:val="single"/>
        </w:rPr>
        <w:t>establish that an entity is a public body within the meaning of the SCM Agreement.</w:t>
      </w:r>
      <w:r w:rsidRPr="00FB254D">
        <w:rPr>
          <w:rFonts w:ascii="Arial" w:hAnsi="Arial" w:cs="Arial"/>
          <w:i/>
          <w:sz w:val="24"/>
        </w:rPr>
        <w:t xml:space="preserve"> </w:t>
      </w:r>
      <w:r w:rsidRPr="00FB254D">
        <w:rPr>
          <w:rFonts w:ascii="Arial" w:hAnsi="Arial" w:cs="Arial"/>
          <w:i/>
          <w:sz w:val="24"/>
          <w:u w:val="single"/>
        </w:rPr>
        <w:t xml:space="preserve">Although the Panel quoted extensively from the Appellate Body report in </w:t>
      </w:r>
      <w:r w:rsidRPr="00FB254D">
        <w:rPr>
          <w:rFonts w:ascii="Arial" w:hAnsi="Arial" w:cs="Arial"/>
          <w:b/>
          <w:i/>
          <w:sz w:val="24"/>
          <w:u w:val="single"/>
        </w:rPr>
        <w:t>US – Anti-Dumping</w:t>
      </w:r>
      <w:r w:rsidRPr="00FB254D">
        <w:rPr>
          <w:rFonts w:ascii="Arial" w:hAnsi="Arial" w:cs="Arial"/>
          <w:b/>
          <w:i/>
          <w:spacing w:val="-14"/>
          <w:sz w:val="24"/>
          <w:u w:val="single"/>
        </w:rPr>
        <w:t xml:space="preserve"> </w:t>
      </w:r>
      <w:r w:rsidRPr="00FB254D">
        <w:rPr>
          <w:rFonts w:ascii="Arial" w:hAnsi="Arial" w:cs="Arial"/>
          <w:b/>
          <w:i/>
          <w:sz w:val="24"/>
          <w:u w:val="single"/>
        </w:rPr>
        <w:t>and</w:t>
      </w:r>
      <w:r w:rsidRPr="00FB254D">
        <w:rPr>
          <w:rFonts w:ascii="Arial" w:hAnsi="Arial" w:cs="Arial"/>
          <w:b/>
          <w:i/>
          <w:spacing w:val="-16"/>
          <w:sz w:val="24"/>
          <w:u w:val="single"/>
        </w:rPr>
        <w:t xml:space="preserve"> </w:t>
      </w:r>
      <w:r w:rsidRPr="00FB254D">
        <w:rPr>
          <w:rFonts w:ascii="Arial" w:hAnsi="Arial" w:cs="Arial"/>
          <w:b/>
          <w:i/>
          <w:sz w:val="24"/>
          <w:u w:val="single"/>
        </w:rPr>
        <w:t>Countervailing</w:t>
      </w:r>
      <w:r w:rsidRPr="00FB254D">
        <w:rPr>
          <w:rFonts w:ascii="Arial" w:hAnsi="Arial" w:cs="Arial"/>
          <w:b/>
          <w:i/>
          <w:spacing w:val="-14"/>
          <w:sz w:val="24"/>
          <w:u w:val="single"/>
        </w:rPr>
        <w:t xml:space="preserve"> </w:t>
      </w:r>
      <w:r w:rsidRPr="00FB254D">
        <w:rPr>
          <w:rFonts w:ascii="Arial" w:hAnsi="Arial" w:cs="Arial"/>
          <w:b/>
          <w:i/>
          <w:sz w:val="24"/>
          <w:u w:val="single"/>
        </w:rPr>
        <w:t>Duties</w:t>
      </w:r>
      <w:r w:rsidRPr="00FB254D">
        <w:rPr>
          <w:rFonts w:ascii="Arial" w:hAnsi="Arial" w:cs="Arial"/>
          <w:b/>
          <w:i/>
          <w:spacing w:val="-13"/>
          <w:sz w:val="24"/>
          <w:u w:val="single"/>
        </w:rPr>
        <w:t xml:space="preserve"> </w:t>
      </w:r>
      <w:r w:rsidRPr="00FB254D">
        <w:rPr>
          <w:rFonts w:ascii="Arial" w:hAnsi="Arial" w:cs="Arial"/>
          <w:b/>
          <w:i/>
          <w:sz w:val="24"/>
          <w:u w:val="single"/>
        </w:rPr>
        <w:t>(China)</w:t>
      </w:r>
      <w:r w:rsidRPr="00FB254D">
        <w:rPr>
          <w:rFonts w:ascii="Arial" w:hAnsi="Arial" w:cs="Arial"/>
          <w:i/>
          <w:sz w:val="24"/>
          <w:u w:val="single"/>
        </w:rPr>
        <w:t>,</w:t>
      </w:r>
      <w:r w:rsidRPr="00FB254D">
        <w:rPr>
          <w:rFonts w:ascii="Arial" w:hAnsi="Arial" w:cs="Arial"/>
          <w:i/>
          <w:spacing w:val="-17"/>
          <w:sz w:val="24"/>
          <w:u w:val="single"/>
        </w:rPr>
        <w:t xml:space="preserve"> </w:t>
      </w:r>
      <w:r w:rsidRPr="00FB254D">
        <w:rPr>
          <w:rFonts w:ascii="Arial" w:hAnsi="Arial" w:cs="Arial"/>
          <w:i/>
          <w:sz w:val="24"/>
          <w:u w:val="single"/>
        </w:rPr>
        <w:t>it</w:t>
      </w:r>
      <w:r w:rsidRPr="00FB254D">
        <w:rPr>
          <w:rFonts w:ascii="Arial" w:hAnsi="Arial" w:cs="Arial"/>
          <w:i/>
          <w:spacing w:val="-13"/>
          <w:sz w:val="24"/>
          <w:u w:val="single"/>
        </w:rPr>
        <w:t xml:space="preserve"> </w:t>
      </w:r>
      <w:r w:rsidRPr="00FB254D">
        <w:rPr>
          <w:rFonts w:ascii="Arial" w:hAnsi="Arial" w:cs="Arial"/>
          <w:i/>
          <w:sz w:val="24"/>
          <w:u w:val="single"/>
        </w:rPr>
        <w:t>appears</w:t>
      </w:r>
      <w:r w:rsidRPr="00FB254D">
        <w:rPr>
          <w:rFonts w:ascii="Arial" w:hAnsi="Arial" w:cs="Arial"/>
          <w:i/>
          <w:spacing w:val="-14"/>
          <w:sz w:val="24"/>
          <w:u w:val="single"/>
        </w:rPr>
        <w:t xml:space="preserve"> </w:t>
      </w:r>
      <w:r w:rsidRPr="00FB254D">
        <w:rPr>
          <w:rFonts w:ascii="Arial" w:hAnsi="Arial" w:cs="Arial"/>
          <w:i/>
          <w:sz w:val="24"/>
          <w:u w:val="single"/>
        </w:rPr>
        <w:t>to</w:t>
      </w:r>
      <w:r w:rsidRPr="00FB254D">
        <w:rPr>
          <w:rFonts w:ascii="Arial" w:hAnsi="Arial" w:cs="Arial"/>
          <w:i/>
          <w:spacing w:val="-13"/>
          <w:sz w:val="24"/>
          <w:u w:val="single"/>
        </w:rPr>
        <w:t xml:space="preserve"> </w:t>
      </w:r>
      <w:r w:rsidRPr="00FB254D">
        <w:rPr>
          <w:rFonts w:ascii="Arial" w:hAnsi="Arial" w:cs="Arial"/>
          <w:i/>
          <w:sz w:val="24"/>
          <w:u w:val="single"/>
        </w:rPr>
        <w:t>have</w:t>
      </w:r>
      <w:r w:rsidRPr="00FB254D">
        <w:rPr>
          <w:rFonts w:ascii="Arial" w:hAnsi="Arial" w:cs="Arial"/>
          <w:i/>
          <w:spacing w:val="-15"/>
          <w:sz w:val="24"/>
          <w:u w:val="single"/>
        </w:rPr>
        <w:t xml:space="preserve"> </w:t>
      </w:r>
      <w:r w:rsidRPr="00FB254D">
        <w:rPr>
          <w:rFonts w:ascii="Arial" w:hAnsi="Arial" w:cs="Arial"/>
          <w:i/>
          <w:sz w:val="24"/>
          <w:u w:val="single"/>
        </w:rPr>
        <w:t>blurred</w:t>
      </w:r>
      <w:r w:rsidRPr="00FB254D">
        <w:rPr>
          <w:rFonts w:ascii="Arial" w:hAnsi="Arial" w:cs="Arial"/>
          <w:i/>
          <w:spacing w:val="-13"/>
          <w:sz w:val="24"/>
          <w:u w:val="single"/>
        </w:rPr>
        <w:t xml:space="preserve"> </w:t>
      </w:r>
      <w:r w:rsidRPr="00FB254D">
        <w:rPr>
          <w:rFonts w:ascii="Arial" w:hAnsi="Arial" w:cs="Arial"/>
          <w:i/>
          <w:sz w:val="24"/>
          <w:u w:val="single"/>
        </w:rPr>
        <w:t>the</w:t>
      </w:r>
      <w:r w:rsidRPr="00FB254D">
        <w:rPr>
          <w:rFonts w:ascii="Arial" w:hAnsi="Arial" w:cs="Arial"/>
          <w:i/>
          <w:spacing w:val="-15"/>
          <w:sz w:val="24"/>
          <w:u w:val="single"/>
        </w:rPr>
        <w:t xml:space="preserve"> </w:t>
      </w:r>
      <w:r w:rsidRPr="00FB254D">
        <w:rPr>
          <w:rFonts w:ascii="Arial" w:hAnsi="Arial" w:cs="Arial"/>
          <w:i/>
          <w:sz w:val="24"/>
          <w:u w:val="single"/>
        </w:rPr>
        <w:t>distinction</w:t>
      </w:r>
      <w:r w:rsidRPr="00FB254D">
        <w:rPr>
          <w:rFonts w:ascii="Arial" w:hAnsi="Arial" w:cs="Arial"/>
          <w:i/>
          <w:sz w:val="24"/>
        </w:rPr>
        <w:t xml:space="preserve"> </w:t>
      </w:r>
      <w:r w:rsidRPr="00FB254D">
        <w:rPr>
          <w:rFonts w:ascii="Arial" w:hAnsi="Arial" w:cs="Arial"/>
          <w:i/>
          <w:sz w:val="24"/>
          <w:u w:val="single"/>
        </w:rPr>
        <w:t>drawn by the Appellate Body in that report between the existence of control by a government over an entity, on the one hand, and "meaningful control", on the other hand.</w:t>
      </w:r>
      <w:r w:rsidRPr="00FB254D">
        <w:rPr>
          <w:rFonts w:ascii="Arial" w:hAnsi="Arial" w:cs="Arial"/>
          <w:i/>
          <w:sz w:val="24"/>
        </w:rPr>
        <w:t xml:space="preserve"> </w:t>
      </w:r>
      <w:r w:rsidRPr="00FB254D">
        <w:rPr>
          <w:rFonts w:ascii="Arial" w:hAnsi="Arial" w:cs="Arial"/>
          <w:i/>
          <w:sz w:val="24"/>
          <w:u w:val="single"/>
        </w:rPr>
        <w:t>Thus,</w:t>
      </w:r>
      <w:r w:rsidRPr="00FB254D">
        <w:rPr>
          <w:rFonts w:ascii="Arial" w:hAnsi="Arial" w:cs="Arial"/>
          <w:i/>
          <w:spacing w:val="15"/>
          <w:sz w:val="24"/>
          <w:u w:val="single"/>
        </w:rPr>
        <w:t xml:space="preserve"> </w:t>
      </w:r>
      <w:r w:rsidRPr="00FB254D">
        <w:rPr>
          <w:rFonts w:ascii="Arial" w:hAnsi="Arial" w:cs="Arial"/>
          <w:i/>
          <w:sz w:val="24"/>
          <w:u w:val="single"/>
        </w:rPr>
        <w:t>the</w:t>
      </w:r>
      <w:r w:rsidRPr="00FB254D">
        <w:rPr>
          <w:rFonts w:ascii="Arial" w:hAnsi="Arial" w:cs="Arial"/>
          <w:i/>
          <w:spacing w:val="15"/>
          <w:sz w:val="24"/>
          <w:u w:val="single"/>
        </w:rPr>
        <w:t xml:space="preserve"> </w:t>
      </w:r>
      <w:r w:rsidRPr="00FB254D">
        <w:rPr>
          <w:rFonts w:ascii="Arial" w:hAnsi="Arial" w:cs="Arial"/>
          <w:i/>
          <w:sz w:val="24"/>
          <w:u w:val="single"/>
        </w:rPr>
        <w:t>Panel</w:t>
      </w:r>
      <w:r w:rsidRPr="00FB254D">
        <w:rPr>
          <w:rFonts w:ascii="Arial" w:hAnsi="Arial" w:cs="Arial"/>
          <w:i/>
          <w:spacing w:val="17"/>
          <w:sz w:val="24"/>
          <w:u w:val="single"/>
        </w:rPr>
        <w:t xml:space="preserve"> </w:t>
      </w:r>
      <w:r w:rsidRPr="00FB254D">
        <w:rPr>
          <w:rFonts w:ascii="Arial" w:hAnsi="Arial" w:cs="Arial"/>
          <w:i/>
          <w:sz w:val="24"/>
          <w:u w:val="single"/>
        </w:rPr>
        <w:t>did</w:t>
      </w:r>
      <w:r w:rsidRPr="00FB254D">
        <w:rPr>
          <w:rFonts w:ascii="Arial" w:hAnsi="Arial" w:cs="Arial"/>
          <w:i/>
          <w:spacing w:val="16"/>
          <w:sz w:val="24"/>
          <w:u w:val="single"/>
        </w:rPr>
        <w:t xml:space="preserve"> </w:t>
      </w:r>
      <w:r w:rsidRPr="00FB254D">
        <w:rPr>
          <w:rFonts w:ascii="Arial" w:hAnsi="Arial" w:cs="Arial"/>
          <w:i/>
          <w:sz w:val="24"/>
          <w:u w:val="single"/>
        </w:rPr>
        <w:t>not</w:t>
      </w:r>
      <w:r w:rsidRPr="00FB254D">
        <w:rPr>
          <w:rFonts w:ascii="Arial" w:hAnsi="Arial" w:cs="Arial"/>
          <w:i/>
          <w:spacing w:val="14"/>
          <w:sz w:val="24"/>
          <w:u w:val="single"/>
        </w:rPr>
        <w:t xml:space="preserve"> </w:t>
      </w:r>
      <w:r w:rsidRPr="00FB254D">
        <w:rPr>
          <w:rFonts w:ascii="Arial" w:hAnsi="Arial" w:cs="Arial"/>
          <w:i/>
          <w:sz w:val="24"/>
          <w:u w:val="single"/>
        </w:rPr>
        <w:t>analyse,</w:t>
      </w:r>
      <w:r w:rsidRPr="00FB254D">
        <w:rPr>
          <w:rFonts w:ascii="Arial" w:hAnsi="Arial" w:cs="Arial"/>
          <w:i/>
          <w:spacing w:val="15"/>
          <w:sz w:val="24"/>
          <w:u w:val="single"/>
        </w:rPr>
        <w:t xml:space="preserve"> </w:t>
      </w:r>
      <w:r w:rsidRPr="00FB254D">
        <w:rPr>
          <w:rFonts w:ascii="Arial" w:hAnsi="Arial" w:cs="Arial"/>
          <w:i/>
          <w:sz w:val="24"/>
          <w:u w:val="single"/>
        </w:rPr>
        <w:t>in</w:t>
      </w:r>
      <w:r w:rsidRPr="00FB254D">
        <w:rPr>
          <w:rFonts w:ascii="Arial" w:hAnsi="Arial" w:cs="Arial"/>
          <w:i/>
          <w:spacing w:val="17"/>
          <w:sz w:val="24"/>
          <w:u w:val="single"/>
        </w:rPr>
        <w:t xml:space="preserve"> </w:t>
      </w:r>
      <w:r w:rsidRPr="00FB254D">
        <w:rPr>
          <w:rFonts w:ascii="Arial" w:hAnsi="Arial" w:cs="Arial"/>
          <w:i/>
          <w:sz w:val="24"/>
          <w:u w:val="single"/>
        </w:rPr>
        <w:t>our</w:t>
      </w:r>
      <w:r w:rsidRPr="00FB254D">
        <w:rPr>
          <w:rFonts w:ascii="Arial" w:hAnsi="Arial" w:cs="Arial"/>
          <w:i/>
          <w:spacing w:val="15"/>
          <w:sz w:val="24"/>
          <w:u w:val="single"/>
        </w:rPr>
        <w:t xml:space="preserve"> </w:t>
      </w:r>
      <w:r w:rsidRPr="00FB254D">
        <w:rPr>
          <w:rFonts w:ascii="Arial" w:hAnsi="Arial" w:cs="Arial"/>
          <w:i/>
          <w:sz w:val="24"/>
          <w:u w:val="single"/>
        </w:rPr>
        <w:t>view,</w:t>
      </w:r>
      <w:r w:rsidRPr="00FB254D">
        <w:rPr>
          <w:rFonts w:ascii="Arial" w:hAnsi="Arial" w:cs="Arial"/>
          <w:i/>
          <w:spacing w:val="16"/>
          <w:sz w:val="24"/>
          <w:u w:val="single"/>
        </w:rPr>
        <w:t xml:space="preserve"> </w:t>
      </w:r>
      <w:r w:rsidRPr="00FB254D">
        <w:rPr>
          <w:rFonts w:ascii="Arial" w:hAnsi="Arial" w:cs="Arial"/>
          <w:i/>
          <w:sz w:val="24"/>
          <w:u w:val="single"/>
        </w:rPr>
        <w:t>the</w:t>
      </w:r>
      <w:r w:rsidRPr="00FB254D">
        <w:rPr>
          <w:rFonts w:ascii="Arial" w:hAnsi="Arial" w:cs="Arial"/>
          <w:i/>
          <w:spacing w:val="15"/>
          <w:sz w:val="24"/>
          <w:u w:val="single"/>
        </w:rPr>
        <w:t xml:space="preserve"> </w:t>
      </w:r>
      <w:r w:rsidRPr="00FB254D">
        <w:rPr>
          <w:rFonts w:ascii="Arial" w:hAnsi="Arial" w:cs="Arial"/>
          <w:i/>
          <w:sz w:val="24"/>
          <w:u w:val="single"/>
        </w:rPr>
        <w:t>question</w:t>
      </w:r>
      <w:r w:rsidRPr="00FB254D">
        <w:rPr>
          <w:rFonts w:ascii="Arial" w:hAnsi="Arial" w:cs="Arial"/>
          <w:i/>
          <w:spacing w:val="16"/>
          <w:sz w:val="24"/>
          <w:u w:val="single"/>
        </w:rPr>
        <w:t xml:space="preserve"> </w:t>
      </w:r>
      <w:r w:rsidRPr="00FB254D">
        <w:rPr>
          <w:rFonts w:ascii="Arial" w:hAnsi="Arial" w:cs="Arial"/>
          <w:i/>
          <w:sz w:val="24"/>
          <w:u w:val="single"/>
        </w:rPr>
        <w:t>of</w:t>
      </w:r>
      <w:r w:rsidRPr="00FB254D">
        <w:rPr>
          <w:rFonts w:ascii="Arial" w:hAnsi="Arial" w:cs="Arial"/>
          <w:i/>
          <w:spacing w:val="16"/>
          <w:sz w:val="24"/>
          <w:u w:val="single"/>
        </w:rPr>
        <w:t xml:space="preserve"> </w:t>
      </w:r>
      <w:r w:rsidRPr="00FB254D">
        <w:rPr>
          <w:rFonts w:ascii="Arial" w:hAnsi="Arial" w:cs="Arial"/>
          <w:i/>
          <w:sz w:val="24"/>
          <w:u w:val="single"/>
        </w:rPr>
        <w:t>whether</w:t>
      </w:r>
      <w:r w:rsidRPr="00FB254D">
        <w:rPr>
          <w:rFonts w:ascii="Arial" w:hAnsi="Arial" w:cs="Arial"/>
          <w:i/>
          <w:spacing w:val="16"/>
          <w:sz w:val="24"/>
          <w:u w:val="single"/>
        </w:rPr>
        <w:t xml:space="preserve"> </w:t>
      </w:r>
      <w:r w:rsidRPr="00FB254D">
        <w:rPr>
          <w:rFonts w:ascii="Arial" w:hAnsi="Arial" w:cs="Arial"/>
          <w:i/>
          <w:sz w:val="24"/>
          <w:u w:val="single"/>
        </w:rPr>
        <w:t>the</w:t>
      </w:r>
      <w:r w:rsidRPr="00FB254D">
        <w:rPr>
          <w:rFonts w:ascii="Arial" w:hAnsi="Arial" w:cs="Arial"/>
          <w:i/>
          <w:spacing w:val="12"/>
          <w:sz w:val="24"/>
          <w:u w:val="single"/>
        </w:rPr>
        <w:t xml:space="preserve"> </w:t>
      </w:r>
      <w:r w:rsidRPr="00FB254D">
        <w:rPr>
          <w:rFonts w:ascii="Arial" w:hAnsi="Arial" w:cs="Arial"/>
          <w:i/>
          <w:sz w:val="24"/>
          <w:u w:val="single"/>
        </w:rPr>
        <w:t>GOI</w:t>
      </w:r>
      <w:r w:rsidRPr="00FB254D">
        <w:rPr>
          <w:rFonts w:ascii="Arial" w:hAnsi="Arial" w:cs="Arial"/>
          <w:i/>
          <w:spacing w:val="15"/>
          <w:sz w:val="24"/>
          <w:u w:val="single"/>
        </w:rPr>
        <w:t xml:space="preserve"> </w:t>
      </w:r>
      <w:r w:rsidRPr="00FB254D">
        <w:rPr>
          <w:rFonts w:ascii="Arial" w:hAnsi="Arial" w:cs="Arial"/>
          <w:i/>
          <w:sz w:val="24"/>
          <w:u w:val="single"/>
        </w:rPr>
        <w:t>in</w:t>
      </w:r>
      <w:r w:rsidRPr="00FB254D">
        <w:rPr>
          <w:rFonts w:ascii="Arial" w:hAnsi="Arial" w:cs="Arial"/>
          <w:i/>
          <w:spacing w:val="16"/>
          <w:sz w:val="24"/>
          <w:u w:val="single"/>
        </w:rPr>
        <w:t xml:space="preserve"> </w:t>
      </w:r>
      <w:r w:rsidRPr="00FB254D">
        <w:rPr>
          <w:rFonts w:ascii="Arial" w:hAnsi="Arial" w:cs="Arial"/>
          <w:i/>
          <w:sz w:val="24"/>
          <w:u w:val="single"/>
        </w:rPr>
        <w:t>fact</w:t>
      </w:r>
      <w:bookmarkEnd w:id="16"/>
      <w:r w:rsidR="003F0A0B">
        <w:rPr>
          <w:rFonts w:ascii="Arial" w:hAnsi="Arial" w:cs="Arial" w:hint="eastAsia"/>
          <w:i/>
          <w:sz w:val="24"/>
          <w:u w:val="single"/>
        </w:rPr>
        <w:t xml:space="preserve"> </w:t>
      </w:r>
      <w:r w:rsidR="003F0A0B" w:rsidRPr="003F0A0B">
        <w:rPr>
          <w:rFonts w:ascii="Arial" w:hAnsi="Arial" w:cs="Arial"/>
          <w:i/>
          <w:sz w:val="24"/>
          <w:u w:val="single"/>
        </w:rPr>
        <w:t>exercised control over the NMDC and its conduct. Nor did the Panel assess whether the USDOC had properly established that the NMDC “possesses, exercises or is vested with governmental authority”, and is therefore a public body.”</w:t>
      </w:r>
      <w:r w:rsidR="003F0A0B">
        <w:rPr>
          <w:rStyle w:val="ab"/>
          <w:rFonts w:ascii="Arial" w:hAnsi="Arial" w:cs="Arial"/>
          <w:i/>
          <w:sz w:val="24"/>
          <w:u w:val="single"/>
        </w:rPr>
        <w:footnoteReference w:id="28"/>
      </w:r>
      <w:r w:rsidR="003F0A0B" w:rsidRPr="003F0A0B">
        <w:rPr>
          <w:rFonts w:ascii="Arial" w:hAnsi="Arial" w:cs="Arial"/>
          <w:sz w:val="24"/>
        </w:rPr>
        <w:t>(Underlining</w:t>
      </w:r>
      <w:r w:rsidR="003F0A0B" w:rsidRPr="003F0A0B">
        <w:rPr>
          <w:rFonts w:ascii="Arial" w:hAnsi="Arial" w:cs="Arial"/>
          <w:spacing w:val="-2"/>
          <w:sz w:val="24"/>
        </w:rPr>
        <w:t xml:space="preserve"> </w:t>
      </w:r>
      <w:r w:rsidR="003F0A0B" w:rsidRPr="003F0A0B">
        <w:rPr>
          <w:rFonts w:ascii="Arial" w:hAnsi="Arial" w:cs="Arial"/>
          <w:sz w:val="24"/>
        </w:rPr>
        <w:t>added)</w:t>
      </w:r>
    </w:p>
    <w:p w14:paraId="74827D7D" w14:textId="77777777" w:rsidR="0017259C" w:rsidRDefault="0017259C" w:rsidP="0017259C">
      <w:pPr>
        <w:ind w:right="95"/>
        <w:rPr>
          <w:rFonts w:ascii="Arial" w:hAnsi="Arial" w:cs="Arial"/>
          <w:i/>
          <w:sz w:val="24"/>
          <w:u w:val="single"/>
        </w:rPr>
      </w:pPr>
    </w:p>
    <w:p w14:paraId="337AB4DE" w14:textId="54D6B12C" w:rsidR="0017259C" w:rsidRDefault="0017259C" w:rsidP="001F79D9">
      <w:pPr>
        <w:pStyle w:val="a9"/>
        <w:widowControl w:val="0"/>
        <w:numPr>
          <w:ilvl w:val="0"/>
          <w:numId w:val="39"/>
        </w:numPr>
        <w:tabs>
          <w:tab w:val="left" w:pos="917"/>
        </w:tabs>
        <w:autoSpaceDE w:val="0"/>
        <w:autoSpaceDN w:val="0"/>
        <w:spacing w:before="1"/>
        <w:ind w:right="95" w:hanging="720"/>
        <w:rPr>
          <w:rFonts w:ascii="Arial" w:hAnsi="Arial" w:cs="Arial"/>
          <w:sz w:val="24"/>
          <w:szCs w:val="24"/>
        </w:rPr>
      </w:pPr>
      <w:r>
        <w:rPr>
          <w:rFonts w:ascii="Arial" w:hAnsi="Arial" w:cs="Arial" w:hint="eastAsia"/>
          <w:sz w:val="24"/>
          <w:szCs w:val="24"/>
        </w:rPr>
        <w:t xml:space="preserve">The GOC </w:t>
      </w:r>
      <w:r w:rsidRPr="0017259C">
        <w:rPr>
          <w:rFonts w:ascii="Arial" w:hAnsi="Arial" w:cs="Arial"/>
          <w:sz w:val="24"/>
          <w:szCs w:val="24"/>
        </w:rPr>
        <w:t xml:space="preserve">the law prohibits any government or government department from interfering in the lending decisions of commercial banks. Article 4 of the Law on Commercial Banks stipulates that commercial banks shall conduct their </w:t>
      </w:r>
      <w:r w:rsidRPr="0017259C">
        <w:rPr>
          <w:rFonts w:ascii="Arial" w:hAnsi="Arial" w:cs="Arial"/>
          <w:sz w:val="24"/>
          <w:szCs w:val="24"/>
        </w:rPr>
        <w:lastRenderedPageBreak/>
        <w:t>business in accordance with the law and shall not be subject to interference by any organization or individual. In addition, article 5 of the Law stipulates that local governments and government departments at all levels, public institutions and individuals are prohibited from interfering in bank operations.</w:t>
      </w:r>
    </w:p>
    <w:p w14:paraId="4BBFB25E" w14:textId="77777777" w:rsidR="00184152" w:rsidRDefault="00184152" w:rsidP="00184152">
      <w:pPr>
        <w:pStyle w:val="a9"/>
        <w:widowControl w:val="0"/>
        <w:tabs>
          <w:tab w:val="left" w:pos="917"/>
        </w:tabs>
        <w:autoSpaceDE w:val="0"/>
        <w:autoSpaceDN w:val="0"/>
        <w:spacing w:before="1"/>
        <w:ind w:right="95"/>
        <w:rPr>
          <w:rFonts w:ascii="Arial" w:hAnsi="Arial" w:cs="Arial"/>
          <w:sz w:val="24"/>
          <w:szCs w:val="24"/>
        </w:rPr>
      </w:pPr>
    </w:p>
    <w:p w14:paraId="05796857" w14:textId="77777777" w:rsidR="0017259C" w:rsidRDefault="0017259C" w:rsidP="001F79D9">
      <w:pPr>
        <w:pStyle w:val="a9"/>
        <w:widowControl w:val="0"/>
        <w:numPr>
          <w:ilvl w:val="0"/>
          <w:numId w:val="39"/>
        </w:numPr>
        <w:tabs>
          <w:tab w:val="left" w:pos="917"/>
        </w:tabs>
        <w:autoSpaceDE w:val="0"/>
        <w:autoSpaceDN w:val="0"/>
        <w:spacing w:before="1"/>
        <w:ind w:right="95" w:hanging="720"/>
        <w:rPr>
          <w:rFonts w:ascii="Arial" w:hAnsi="Arial" w:cs="Arial"/>
          <w:sz w:val="24"/>
          <w:szCs w:val="24"/>
        </w:rPr>
      </w:pPr>
      <w:r w:rsidRPr="00DF2611">
        <w:rPr>
          <w:rFonts w:ascii="Arial" w:hAnsi="Arial" w:cs="Arial"/>
          <w:sz w:val="24"/>
          <w:szCs w:val="24"/>
        </w:rPr>
        <w:t>Secondly, all banks must strictly abide by the Commercial Banks Law and operate on the basis of the principles of safety, liquidity and efficiency, practicing autonomous operation, bearing their own risks, being responsible for their own profits and losses and exercising self-restraint. As noted above, commercial banks in China are incorporated under the Company Law and most are listed on the stock exchange; are governed by a board of directors; disclose information in accordance with the Securities Law; are subject to scrutiny by public investors; and are profit-oriented, maintaining and increasing the value of their shares. Therefore, the Chinese Government cannot and will not interfere in the lending decisions and operations of financial institutions.</w:t>
      </w:r>
    </w:p>
    <w:p w14:paraId="02E73705" w14:textId="77777777" w:rsidR="00DF2611" w:rsidRPr="00DF2611" w:rsidRDefault="00DF2611" w:rsidP="00DF2611">
      <w:pPr>
        <w:pStyle w:val="a9"/>
        <w:rPr>
          <w:rFonts w:ascii="Arial" w:hAnsi="Arial" w:cs="Arial"/>
          <w:sz w:val="24"/>
          <w:szCs w:val="24"/>
        </w:rPr>
      </w:pPr>
    </w:p>
    <w:p w14:paraId="1DA49438" w14:textId="41E88143" w:rsidR="0017259C" w:rsidRDefault="0017259C" w:rsidP="001F79D9">
      <w:pPr>
        <w:pStyle w:val="a9"/>
        <w:widowControl w:val="0"/>
        <w:numPr>
          <w:ilvl w:val="0"/>
          <w:numId w:val="39"/>
        </w:numPr>
        <w:tabs>
          <w:tab w:val="left" w:pos="917"/>
        </w:tabs>
        <w:autoSpaceDE w:val="0"/>
        <w:autoSpaceDN w:val="0"/>
        <w:spacing w:before="1"/>
        <w:ind w:right="95" w:hanging="720"/>
        <w:rPr>
          <w:rFonts w:ascii="Arial" w:hAnsi="Arial" w:cs="Arial"/>
          <w:sz w:val="24"/>
          <w:szCs w:val="24"/>
        </w:rPr>
      </w:pPr>
      <w:r w:rsidRPr="00DF2611">
        <w:rPr>
          <w:rFonts w:ascii="Arial" w:hAnsi="Arial" w:cs="Arial"/>
          <w:sz w:val="24"/>
          <w:szCs w:val="24"/>
        </w:rPr>
        <w:t>Finally, the Government of China emphasizes that foreign banks are allowed to operate in China and to conduct lending business in China alongside Chinese banks.</w:t>
      </w:r>
    </w:p>
    <w:p w14:paraId="2170D039" w14:textId="77777777" w:rsidR="00570BD2" w:rsidRPr="00570BD2" w:rsidRDefault="00570BD2" w:rsidP="00570BD2">
      <w:pPr>
        <w:pStyle w:val="a9"/>
        <w:rPr>
          <w:rFonts w:ascii="Arial" w:hAnsi="Arial" w:cs="Arial"/>
          <w:sz w:val="24"/>
          <w:szCs w:val="24"/>
        </w:rPr>
      </w:pPr>
    </w:p>
    <w:p w14:paraId="66507E68" w14:textId="34445B44" w:rsidR="00570BD2" w:rsidRPr="00570BD2" w:rsidRDefault="00570BD2" w:rsidP="001F79D9">
      <w:pPr>
        <w:pStyle w:val="a9"/>
        <w:widowControl w:val="0"/>
        <w:numPr>
          <w:ilvl w:val="0"/>
          <w:numId w:val="39"/>
        </w:numPr>
        <w:tabs>
          <w:tab w:val="left" w:pos="917"/>
        </w:tabs>
        <w:autoSpaceDE w:val="0"/>
        <w:autoSpaceDN w:val="0"/>
        <w:spacing w:before="1"/>
        <w:ind w:right="95" w:hanging="720"/>
        <w:rPr>
          <w:rFonts w:ascii="Arial" w:hAnsi="Arial" w:cs="Arial"/>
          <w:sz w:val="24"/>
          <w:szCs w:val="24"/>
        </w:rPr>
      </w:pPr>
      <w:r w:rsidRPr="00570BD2">
        <w:rPr>
          <w:rFonts w:ascii="Arial" w:hAnsi="Arial" w:cs="Arial"/>
          <w:sz w:val="24"/>
          <w:szCs w:val="24"/>
        </w:rPr>
        <w:t xml:space="preserve">The Applicant </w:t>
      </w:r>
      <w:r>
        <w:rPr>
          <w:rFonts w:ascii="Arial" w:hAnsi="Arial" w:cs="Arial" w:hint="eastAsia"/>
          <w:sz w:val="24"/>
          <w:szCs w:val="24"/>
        </w:rPr>
        <w:t xml:space="preserve">also </w:t>
      </w:r>
      <w:r w:rsidRPr="00570BD2">
        <w:rPr>
          <w:rFonts w:ascii="Arial" w:hAnsi="Arial" w:cs="Arial"/>
          <w:sz w:val="24"/>
          <w:szCs w:val="24"/>
        </w:rPr>
        <w:t>claims that export credit loans granted by the Export-Import Bank of China (“EXIM”) constitute countervailable subsidies.</w:t>
      </w:r>
      <w:r>
        <w:rPr>
          <w:rStyle w:val="ab"/>
          <w:rFonts w:ascii="Arial" w:hAnsi="Arial" w:cs="Arial"/>
          <w:sz w:val="24"/>
          <w:szCs w:val="24"/>
        </w:rPr>
        <w:footnoteReference w:id="29"/>
      </w:r>
      <w:r w:rsidRPr="00570BD2">
        <w:rPr>
          <w:rFonts w:ascii="Arial" w:hAnsi="Arial" w:cs="Arial"/>
          <w:sz w:val="24"/>
          <w:szCs w:val="24"/>
        </w:rPr>
        <w:t xml:space="preserve"> The GOC considers that, as regards this alleged program, the Application suffers from the same defects as discussed above in that no evidence has been provided that </w:t>
      </w:r>
      <w:r w:rsidRPr="00570BD2">
        <w:rPr>
          <w:rFonts w:ascii="Arial" w:hAnsi="Arial" w:cs="Arial" w:hint="eastAsia"/>
          <w:sz w:val="24"/>
          <w:szCs w:val="24"/>
        </w:rPr>
        <w:t>Excavator</w:t>
      </w:r>
      <w:r w:rsidRPr="00570BD2">
        <w:rPr>
          <w:rFonts w:ascii="Arial" w:hAnsi="Arial" w:cs="Arial"/>
          <w:sz w:val="24"/>
          <w:szCs w:val="24"/>
        </w:rPr>
        <w:t xml:space="preserve"> producers received any preferential loans from EXIM in the investigation period. The Application, while shooting in the dark, does not meet the standards under Articles 11.2 and 11.3 of the SCM Agreement.</w:t>
      </w:r>
    </w:p>
    <w:p w14:paraId="3A6A7755" w14:textId="77777777" w:rsidR="00570BD2" w:rsidRDefault="00570BD2" w:rsidP="00570BD2">
      <w:pPr>
        <w:widowControl w:val="0"/>
        <w:tabs>
          <w:tab w:val="left" w:pos="917"/>
        </w:tabs>
        <w:autoSpaceDE w:val="0"/>
        <w:autoSpaceDN w:val="0"/>
        <w:spacing w:before="1"/>
        <w:ind w:left="-76" w:right="95"/>
        <w:rPr>
          <w:rFonts w:ascii="Arial" w:hAnsi="Arial" w:cs="Arial"/>
          <w:sz w:val="24"/>
          <w:szCs w:val="24"/>
        </w:rPr>
      </w:pPr>
    </w:p>
    <w:p w14:paraId="33108199" w14:textId="3F732136" w:rsidR="000A289A" w:rsidRPr="000A289A" w:rsidRDefault="000A289A" w:rsidP="0060325A">
      <w:pPr>
        <w:pStyle w:val="a9"/>
        <w:widowControl w:val="0"/>
        <w:numPr>
          <w:ilvl w:val="0"/>
          <w:numId w:val="39"/>
        </w:numPr>
        <w:tabs>
          <w:tab w:val="left" w:pos="917"/>
        </w:tabs>
        <w:autoSpaceDE w:val="0"/>
        <w:autoSpaceDN w:val="0"/>
        <w:spacing w:before="1"/>
        <w:ind w:right="95" w:hanging="644"/>
        <w:rPr>
          <w:rFonts w:ascii="Arial" w:hAnsi="Arial" w:cs="Arial"/>
          <w:sz w:val="24"/>
          <w:szCs w:val="24"/>
        </w:rPr>
      </w:pPr>
      <w:r>
        <w:rPr>
          <w:rFonts w:ascii="Arial" w:hAnsi="Arial" w:cs="Arial" w:hint="eastAsia"/>
          <w:sz w:val="24"/>
          <w:szCs w:val="24"/>
        </w:rPr>
        <w:t xml:space="preserve">Without </w:t>
      </w:r>
      <w:r>
        <w:rPr>
          <w:rFonts w:ascii="Arial" w:hAnsi="Arial" w:cs="Arial"/>
          <w:sz w:val="24"/>
          <w:szCs w:val="24"/>
        </w:rPr>
        <w:t>prejudice</w:t>
      </w:r>
      <w:r>
        <w:rPr>
          <w:rFonts w:ascii="Arial" w:hAnsi="Arial" w:cs="Arial" w:hint="eastAsia"/>
          <w:sz w:val="24"/>
          <w:szCs w:val="24"/>
        </w:rPr>
        <w:t xml:space="preserve"> to the above,</w:t>
      </w:r>
      <w:r w:rsidRPr="000A289A">
        <w:rPr>
          <w:rFonts w:ascii="Arial" w:hAnsi="Arial" w:cs="Arial"/>
          <w:sz w:val="24"/>
          <w:szCs w:val="24"/>
        </w:rPr>
        <w:t xml:space="preserve"> </w:t>
      </w:r>
      <w:r>
        <w:rPr>
          <w:rFonts w:ascii="Arial" w:hAnsi="Arial" w:cs="Arial" w:hint="eastAsia"/>
          <w:sz w:val="24"/>
          <w:szCs w:val="24"/>
        </w:rPr>
        <w:t>t</w:t>
      </w:r>
      <w:r w:rsidRPr="000A289A">
        <w:rPr>
          <w:rFonts w:ascii="Arial" w:hAnsi="Arial" w:cs="Arial"/>
          <w:sz w:val="24"/>
          <w:szCs w:val="24"/>
        </w:rPr>
        <w:t xml:space="preserve">he GOC notes that </w:t>
      </w:r>
      <w:r>
        <w:rPr>
          <w:rFonts w:ascii="Arial" w:hAnsi="Arial" w:cs="Arial" w:hint="eastAsia"/>
          <w:sz w:val="24"/>
          <w:szCs w:val="24"/>
        </w:rPr>
        <w:t>EXIM</w:t>
      </w:r>
      <w:r>
        <w:rPr>
          <w:rFonts w:ascii="Arial" w:hAnsi="Arial" w:cs="Arial"/>
          <w:sz w:val="24"/>
          <w:szCs w:val="24"/>
        </w:rPr>
        <w:t>’</w:t>
      </w:r>
      <w:r>
        <w:rPr>
          <w:rFonts w:ascii="Arial" w:hAnsi="Arial" w:cs="Arial" w:hint="eastAsia"/>
          <w:sz w:val="24"/>
          <w:szCs w:val="24"/>
        </w:rPr>
        <w:t>s</w:t>
      </w:r>
      <w:r w:rsidRPr="000A289A">
        <w:rPr>
          <w:rFonts w:ascii="Arial" w:hAnsi="Arial" w:cs="Arial"/>
          <w:sz w:val="24"/>
          <w:szCs w:val="24"/>
        </w:rPr>
        <w:t xml:space="preserve"> mission statement </w:t>
      </w:r>
      <w:r>
        <w:rPr>
          <w:rFonts w:ascii="Arial" w:hAnsi="Arial" w:cs="Arial" w:hint="eastAsia"/>
          <w:sz w:val="24"/>
          <w:szCs w:val="24"/>
        </w:rPr>
        <w:t xml:space="preserve">published on its website </w:t>
      </w:r>
      <w:r w:rsidRPr="000A289A">
        <w:rPr>
          <w:rFonts w:ascii="Arial" w:hAnsi="Arial" w:cs="Arial"/>
          <w:sz w:val="24"/>
          <w:szCs w:val="24"/>
        </w:rPr>
        <w:t xml:space="preserve">is no different from the mission statements of UK </w:t>
      </w:r>
      <w:r w:rsidRPr="000A289A">
        <w:rPr>
          <w:rFonts w:ascii="Arial" w:hAnsi="Arial" w:cs="Arial"/>
          <w:sz w:val="24"/>
          <w:szCs w:val="24"/>
        </w:rPr>
        <w:lastRenderedPageBreak/>
        <w:t>export-import bank and financiers. For example, the website of the British Business Bank explicitly states the UK Export Finance “</w:t>
      </w:r>
      <w:r w:rsidRPr="000A289A">
        <w:rPr>
          <w:rFonts w:ascii="Arial" w:hAnsi="Arial" w:cs="Arial"/>
          <w:i/>
          <w:iCs/>
          <w:sz w:val="24"/>
          <w:szCs w:val="24"/>
        </w:rPr>
        <w:t>helps exporters access finance and insurance when there is a lack of private sector risk appetite or capacity.</w:t>
      </w:r>
      <w:r w:rsidRPr="000A289A">
        <w:rPr>
          <w:rFonts w:ascii="Arial" w:hAnsi="Arial" w:cs="Arial"/>
          <w:sz w:val="24"/>
          <w:szCs w:val="24"/>
        </w:rPr>
        <w:t xml:space="preserve">” </w:t>
      </w:r>
      <w:r>
        <w:rPr>
          <w:rStyle w:val="ab"/>
          <w:rFonts w:ascii="Arial" w:hAnsi="Arial" w:cs="Arial"/>
          <w:sz w:val="24"/>
          <w:szCs w:val="24"/>
        </w:rPr>
        <w:footnoteReference w:id="30"/>
      </w:r>
      <w:r w:rsidRPr="000A289A">
        <w:rPr>
          <w:rFonts w:ascii="Arial" w:hAnsi="Arial" w:cs="Arial"/>
          <w:sz w:val="24"/>
          <w:szCs w:val="24"/>
        </w:rPr>
        <w:t xml:space="preserve"> The GOC further notes that policy banks such as EXIM exist all around the world. Examples include Export-Import Bank of the United States, and Export-Import Bank of Korea. Dozens of other examples are available on the OECD website. There is, therefore, nothing unique or irregular about loans and credits granted by EXIM.</w:t>
      </w:r>
    </w:p>
    <w:p w14:paraId="1B488960" w14:textId="77777777" w:rsidR="000A289A" w:rsidRPr="000A289A" w:rsidRDefault="000A289A" w:rsidP="000A289A">
      <w:pPr>
        <w:pStyle w:val="a9"/>
        <w:widowControl w:val="0"/>
        <w:tabs>
          <w:tab w:val="left" w:pos="917"/>
        </w:tabs>
        <w:autoSpaceDE w:val="0"/>
        <w:autoSpaceDN w:val="0"/>
        <w:spacing w:before="1"/>
        <w:ind w:left="644" w:right="95"/>
        <w:rPr>
          <w:rFonts w:ascii="Arial" w:hAnsi="Arial" w:cs="Arial"/>
          <w:sz w:val="24"/>
          <w:szCs w:val="24"/>
        </w:rPr>
      </w:pPr>
    </w:p>
    <w:p w14:paraId="48CAE398" w14:textId="23A95D71" w:rsidR="000A289A" w:rsidRPr="000A289A" w:rsidRDefault="000A289A" w:rsidP="001F79D9">
      <w:pPr>
        <w:pStyle w:val="a9"/>
        <w:widowControl w:val="0"/>
        <w:numPr>
          <w:ilvl w:val="0"/>
          <w:numId w:val="39"/>
        </w:numPr>
        <w:tabs>
          <w:tab w:val="left" w:pos="917"/>
        </w:tabs>
        <w:autoSpaceDE w:val="0"/>
        <w:autoSpaceDN w:val="0"/>
        <w:spacing w:before="1"/>
        <w:ind w:right="95" w:hanging="644"/>
        <w:rPr>
          <w:rFonts w:ascii="Arial" w:hAnsi="Arial" w:cs="Arial"/>
          <w:sz w:val="24"/>
          <w:szCs w:val="24"/>
        </w:rPr>
      </w:pPr>
      <w:r w:rsidRPr="000A289A">
        <w:rPr>
          <w:rFonts w:ascii="Arial" w:hAnsi="Arial" w:cs="Arial"/>
          <w:sz w:val="24"/>
          <w:szCs w:val="24"/>
        </w:rPr>
        <w:t xml:space="preserve">In any event, the Application provides no </w:t>
      </w:r>
      <w:r>
        <w:rPr>
          <w:rFonts w:ascii="Arial" w:hAnsi="Arial" w:cs="Arial" w:hint="eastAsia"/>
          <w:sz w:val="24"/>
          <w:szCs w:val="24"/>
        </w:rPr>
        <w:t>evidence</w:t>
      </w:r>
      <w:r w:rsidRPr="000A289A">
        <w:rPr>
          <w:rFonts w:ascii="Arial" w:hAnsi="Arial" w:cs="Arial"/>
          <w:sz w:val="24"/>
          <w:szCs w:val="24"/>
        </w:rPr>
        <w:t xml:space="preserve"> as to how </w:t>
      </w:r>
      <w:r>
        <w:rPr>
          <w:rFonts w:ascii="Arial" w:hAnsi="Arial" w:cs="Arial" w:hint="eastAsia"/>
          <w:sz w:val="24"/>
          <w:szCs w:val="24"/>
        </w:rPr>
        <w:t>loans and credits granted by EXIM</w:t>
      </w:r>
      <w:r w:rsidRPr="000A289A">
        <w:rPr>
          <w:rFonts w:ascii="Arial" w:hAnsi="Arial" w:cs="Arial"/>
          <w:sz w:val="24"/>
          <w:szCs w:val="24"/>
        </w:rPr>
        <w:t xml:space="preserve"> would constitute evidence of subsidization of the Chinese </w:t>
      </w:r>
      <w:r w:rsidR="00A77669">
        <w:rPr>
          <w:rFonts w:ascii="Arial" w:hAnsi="Arial" w:cs="Arial" w:hint="eastAsia"/>
          <w:sz w:val="24"/>
          <w:szCs w:val="24"/>
        </w:rPr>
        <w:t>Excavator</w:t>
      </w:r>
      <w:r w:rsidRPr="000A289A">
        <w:rPr>
          <w:rFonts w:ascii="Arial" w:hAnsi="Arial" w:cs="Arial"/>
          <w:sz w:val="24"/>
          <w:szCs w:val="24"/>
        </w:rPr>
        <w:t xml:space="preserve"> industry.</w:t>
      </w:r>
    </w:p>
    <w:p w14:paraId="2A8A0F25" w14:textId="77777777" w:rsidR="000A289A" w:rsidRPr="000A289A" w:rsidRDefault="000A289A" w:rsidP="000A289A">
      <w:pPr>
        <w:pStyle w:val="a9"/>
        <w:widowControl w:val="0"/>
        <w:tabs>
          <w:tab w:val="left" w:pos="917"/>
        </w:tabs>
        <w:autoSpaceDE w:val="0"/>
        <w:autoSpaceDN w:val="0"/>
        <w:spacing w:before="1"/>
        <w:ind w:left="644" w:right="95"/>
        <w:rPr>
          <w:rFonts w:ascii="Arial" w:hAnsi="Arial" w:cs="Arial"/>
          <w:sz w:val="24"/>
          <w:szCs w:val="24"/>
        </w:rPr>
      </w:pPr>
    </w:p>
    <w:p w14:paraId="055CE5A1" w14:textId="5CDC56A0" w:rsidR="009B1F6E" w:rsidRPr="00131C50" w:rsidRDefault="009B1F6E" w:rsidP="009B1F6E">
      <w:pPr>
        <w:pStyle w:val="3"/>
        <w:spacing w:before="0"/>
        <w:rPr>
          <w:rFonts w:ascii="Arial" w:eastAsia="Times New Roman" w:hAnsi="Arial" w:cs="Arial"/>
          <w:b/>
          <w:bCs/>
          <w:color w:val="auto"/>
          <w:lang w:eastAsia="en-US"/>
        </w:rPr>
      </w:pPr>
      <w:bookmarkStart w:id="18" w:name="_Toc161355127"/>
      <w:r w:rsidRPr="009B1F6E">
        <w:rPr>
          <w:rFonts w:ascii="Arial" w:eastAsia="Times New Roman" w:hAnsi="Arial" w:cs="Arial"/>
          <w:b/>
          <w:bCs/>
          <w:color w:val="auto"/>
          <w:lang w:eastAsia="en-US"/>
        </w:rPr>
        <w:t>Allegedly preferential credit lines</w:t>
      </w:r>
      <w:bookmarkEnd w:id="18"/>
      <w:r w:rsidRPr="00131C50">
        <w:rPr>
          <w:rFonts w:ascii="Arial" w:eastAsia="Times New Roman" w:hAnsi="Arial" w:cs="Arial"/>
          <w:b/>
          <w:bCs/>
          <w:color w:val="auto"/>
          <w:lang w:eastAsia="en-US"/>
        </w:rPr>
        <w:t xml:space="preserve"> </w:t>
      </w:r>
    </w:p>
    <w:p w14:paraId="7B85D038" w14:textId="77777777" w:rsidR="00DF2611" w:rsidRDefault="00DF2611" w:rsidP="00DF2611">
      <w:pPr>
        <w:pStyle w:val="a9"/>
        <w:widowControl w:val="0"/>
        <w:tabs>
          <w:tab w:val="left" w:pos="917"/>
        </w:tabs>
        <w:autoSpaceDE w:val="0"/>
        <w:autoSpaceDN w:val="0"/>
        <w:spacing w:before="1"/>
        <w:ind w:left="916" w:right="-46"/>
        <w:contextualSpacing w:val="0"/>
        <w:jc w:val="right"/>
        <w:rPr>
          <w:rFonts w:ascii="Arial" w:hAnsi="Arial" w:cs="Arial"/>
          <w:sz w:val="24"/>
        </w:rPr>
      </w:pPr>
      <w:bookmarkStart w:id="19" w:name="_Hlk161120287"/>
    </w:p>
    <w:p w14:paraId="432D9527" w14:textId="41BD7D12" w:rsidR="009B1F6E" w:rsidRPr="00DF2611" w:rsidRDefault="009B1F6E" w:rsidP="001F79D9">
      <w:pPr>
        <w:pStyle w:val="a9"/>
        <w:widowControl w:val="0"/>
        <w:numPr>
          <w:ilvl w:val="0"/>
          <w:numId w:val="39"/>
        </w:numPr>
        <w:tabs>
          <w:tab w:val="left" w:pos="917"/>
        </w:tabs>
        <w:autoSpaceDE w:val="0"/>
        <w:autoSpaceDN w:val="0"/>
        <w:spacing w:before="1"/>
        <w:ind w:right="95" w:hanging="644"/>
        <w:rPr>
          <w:rFonts w:ascii="Arial" w:hAnsi="Arial" w:cs="Arial"/>
          <w:sz w:val="24"/>
          <w:szCs w:val="24"/>
        </w:rPr>
      </w:pPr>
      <w:r w:rsidRPr="00DF2611">
        <w:rPr>
          <w:rFonts w:ascii="Arial" w:hAnsi="Arial" w:cs="Arial"/>
          <w:sz w:val="24"/>
          <w:szCs w:val="24"/>
        </w:rPr>
        <w:t xml:space="preserve">The Applicant claims that Chinese producers of </w:t>
      </w:r>
      <w:r w:rsidR="00DF2611">
        <w:rPr>
          <w:rFonts w:ascii="Arial" w:hAnsi="Arial" w:cs="Arial" w:hint="eastAsia"/>
          <w:sz w:val="24"/>
          <w:szCs w:val="24"/>
        </w:rPr>
        <w:t>Excavator</w:t>
      </w:r>
      <w:r w:rsidRPr="00DF2611">
        <w:rPr>
          <w:rFonts w:ascii="Arial" w:hAnsi="Arial" w:cs="Arial"/>
          <w:sz w:val="24"/>
          <w:szCs w:val="24"/>
        </w:rPr>
        <w:t xml:space="preserve"> benefitted from the opening credit lines. The GOC disagrees as the Application does not contain any evidence of provision of preferential credit lines to </w:t>
      </w:r>
      <w:r w:rsidR="00DF2611">
        <w:rPr>
          <w:rFonts w:ascii="Arial" w:hAnsi="Arial" w:cs="Arial" w:hint="eastAsia"/>
          <w:sz w:val="24"/>
          <w:szCs w:val="24"/>
        </w:rPr>
        <w:t>Excavator</w:t>
      </w:r>
      <w:r w:rsidRPr="00DF2611">
        <w:rPr>
          <w:rFonts w:ascii="Arial" w:hAnsi="Arial" w:cs="Arial"/>
          <w:sz w:val="24"/>
          <w:szCs w:val="24"/>
        </w:rPr>
        <w:t xml:space="preserve"> producers.</w:t>
      </w:r>
    </w:p>
    <w:p w14:paraId="46BFD0C2" w14:textId="77777777" w:rsidR="009B1F6E" w:rsidRPr="00DF2611" w:rsidRDefault="009B1F6E" w:rsidP="00DF2611">
      <w:pPr>
        <w:pStyle w:val="a9"/>
        <w:widowControl w:val="0"/>
        <w:tabs>
          <w:tab w:val="left" w:pos="917"/>
        </w:tabs>
        <w:autoSpaceDE w:val="0"/>
        <w:autoSpaceDN w:val="0"/>
        <w:spacing w:before="1"/>
        <w:ind w:right="95"/>
        <w:rPr>
          <w:rFonts w:ascii="Arial" w:hAnsi="Arial" w:cs="Arial"/>
          <w:sz w:val="24"/>
          <w:szCs w:val="24"/>
        </w:rPr>
      </w:pPr>
    </w:p>
    <w:p w14:paraId="47B88947" w14:textId="3F1B5490" w:rsidR="009B1F6E" w:rsidRPr="00DF2611" w:rsidRDefault="009B1F6E" w:rsidP="001F79D9">
      <w:pPr>
        <w:pStyle w:val="a9"/>
        <w:widowControl w:val="0"/>
        <w:numPr>
          <w:ilvl w:val="0"/>
          <w:numId w:val="39"/>
        </w:numPr>
        <w:tabs>
          <w:tab w:val="left" w:pos="917"/>
        </w:tabs>
        <w:autoSpaceDE w:val="0"/>
        <w:autoSpaceDN w:val="0"/>
        <w:spacing w:before="1"/>
        <w:ind w:right="95" w:hanging="644"/>
        <w:rPr>
          <w:rFonts w:ascii="Arial" w:hAnsi="Arial" w:cs="Arial"/>
          <w:sz w:val="24"/>
          <w:szCs w:val="24"/>
        </w:rPr>
      </w:pPr>
      <w:r w:rsidRPr="00DF2611">
        <w:rPr>
          <w:rFonts w:ascii="Arial" w:hAnsi="Arial" w:cs="Arial"/>
          <w:sz w:val="24"/>
          <w:szCs w:val="24"/>
        </w:rPr>
        <w:t xml:space="preserve">As was the case with the supposedly preferential loans, first, there is no evidence of financial contribution to </w:t>
      </w:r>
      <w:r w:rsidR="00B30A18">
        <w:rPr>
          <w:rFonts w:ascii="Arial" w:hAnsi="Arial" w:cs="Arial" w:hint="eastAsia"/>
          <w:sz w:val="24"/>
          <w:szCs w:val="24"/>
        </w:rPr>
        <w:t>Excavator</w:t>
      </w:r>
      <w:r w:rsidRPr="00DF2611">
        <w:rPr>
          <w:rFonts w:ascii="Arial" w:hAnsi="Arial" w:cs="Arial"/>
          <w:sz w:val="24"/>
          <w:szCs w:val="24"/>
        </w:rPr>
        <w:t xml:space="preserve"> producers by “public bodies”, i.e., credit lines given by specific banks and the demonstration that those banks were public bodies. General statements about the existence of credit lines and grant thereof by banks in China is irrelevant and not evidence of subsidization of the </w:t>
      </w:r>
      <w:r w:rsidR="00B30A18">
        <w:rPr>
          <w:rFonts w:ascii="Arial" w:hAnsi="Arial" w:cs="Arial" w:hint="eastAsia"/>
          <w:sz w:val="24"/>
          <w:szCs w:val="24"/>
        </w:rPr>
        <w:t>Excavator</w:t>
      </w:r>
      <w:r w:rsidRPr="00DF2611">
        <w:rPr>
          <w:rFonts w:ascii="Arial" w:hAnsi="Arial" w:cs="Arial"/>
          <w:sz w:val="24"/>
          <w:szCs w:val="24"/>
        </w:rPr>
        <w:t xml:space="preserve"> industry.</w:t>
      </w:r>
    </w:p>
    <w:p w14:paraId="0D774ABA" w14:textId="77777777" w:rsidR="009B1F6E" w:rsidRPr="00B30A18" w:rsidRDefault="009B1F6E" w:rsidP="00B30A18">
      <w:pPr>
        <w:pStyle w:val="a9"/>
        <w:widowControl w:val="0"/>
        <w:tabs>
          <w:tab w:val="left" w:pos="917"/>
        </w:tabs>
        <w:autoSpaceDE w:val="0"/>
        <w:autoSpaceDN w:val="0"/>
        <w:spacing w:before="1"/>
        <w:ind w:right="95"/>
        <w:rPr>
          <w:rFonts w:ascii="Arial" w:hAnsi="Arial" w:cs="Arial"/>
          <w:sz w:val="24"/>
          <w:szCs w:val="24"/>
        </w:rPr>
      </w:pPr>
    </w:p>
    <w:p w14:paraId="347A848F" w14:textId="3E0106F0" w:rsidR="009B1F6E" w:rsidRPr="00DF2611" w:rsidRDefault="009B1F6E" w:rsidP="001F79D9">
      <w:pPr>
        <w:pStyle w:val="a9"/>
        <w:widowControl w:val="0"/>
        <w:numPr>
          <w:ilvl w:val="0"/>
          <w:numId w:val="39"/>
        </w:numPr>
        <w:autoSpaceDE w:val="0"/>
        <w:autoSpaceDN w:val="0"/>
        <w:ind w:right="95" w:hanging="644"/>
        <w:rPr>
          <w:rFonts w:ascii="Arial" w:hAnsi="Arial" w:cs="Arial"/>
          <w:sz w:val="24"/>
        </w:rPr>
      </w:pPr>
      <w:r w:rsidRPr="00DF2611">
        <w:rPr>
          <w:rFonts w:ascii="Arial" w:hAnsi="Arial" w:cs="Arial"/>
          <w:sz w:val="24"/>
        </w:rPr>
        <w:t xml:space="preserve">Second, the GOC recalls that, contrary to the Applicant’s understanding, any and every credit line or the mere opening of a credit line does not amount to a potential direct transfer of funds. In particular as noted by the Panel in </w:t>
      </w:r>
      <w:r w:rsidRPr="00DF2611">
        <w:rPr>
          <w:rFonts w:ascii="Arial" w:hAnsi="Arial" w:cs="Arial"/>
          <w:i/>
          <w:sz w:val="24"/>
        </w:rPr>
        <w:t xml:space="preserve">EC and certain member States – </w:t>
      </w:r>
      <w:r w:rsidRPr="00DF2611">
        <w:rPr>
          <w:rFonts w:ascii="Arial" w:hAnsi="Arial" w:cs="Arial"/>
          <w:i/>
          <w:spacing w:val="-3"/>
          <w:sz w:val="24"/>
        </w:rPr>
        <w:t xml:space="preserve">Large </w:t>
      </w:r>
      <w:r w:rsidRPr="00DF2611">
        <w:rPr>
          <w:rFonts w:ascii="Arial" w:hAnsi="Arial" w:cs="Arial"/>
          <w:i/>
          <w:sz w:val="24"/>
        </w:rPr>
        <w:t>Civil Aircraft</w:t>
      </w:r>
      <w:r w:rsidRPr="00DF2611">
        <w:rPr>
          <w:rFonts w:ascii="Arial" w:hAnsi="Arial" w:cs="Arial"/>
          <w:sz w:val="24"/>
        </w:rPr>
        <w:t>, in assessing “</w:t>
      </w:r>
      <w:r w:rsidRPr="00DF2611">
        <w:rPr>
          <w:rFonts w:ascii="Arial" w:hAnsi="Arial" w:cs="Arial"/>
          <w:i/>
          <w:sz w:val="24"/>
        </w:rPr>
        <w:t xml:space="preserve">whether a </w:t>
      </w:r>
      <w:r w:rsidRPr="00DF2611">
        <w:rPr>
          <w:rFonts w:ascii="Arial" w:hAnsi="Arial" w:cs="Arial"/>
          <w:i/>
          <w:sz w:val="24"/>
        </w:rPr>
        <w:lastRenderedPageBreak/>
        <w:t>transaction involves a ‘potential direct transfer […] of funds’, the focus should</w:t>
      </w:r>
      <w:r w:rsidRPr="00DF2611">
        <w:rPr>
          <w:rFonts w:ascii="Arial" w:hAnsi="Arial" w:cs="Arial"/>
          <w:i/>
          <w:spacing w:val="-12"/>
          <w:sz w:val="24"/>
        </w:rPr>
        <w:t xml:space="preserve"> </w:t>
      </w:r>
      <w:r w:rsidRPr="00DF2611">
        <w:rPr>
          <w:rFonts w:ascii="Arial" w:hAnsi="Arial" w:cs="Arial"/>
          <w:i/>
          <w:sz w:val="24"/>
        </w:rPr>
        <w:t>be</w:t>
      </w:r>
      <w:r w:rsidRPr="00DF2611">
        <w:rPr>
          <w:rFonts w:ascii="Arial" w:hAnsi="Arial" w:cs="Arial"/>
          <w:i/>
          <w:spacing w:val="-12"/>
          <w:sz w:val="24"/>
        </w:rPr>
        <w:t xml:space="preserve"> </w:t>
      </w:r>
      <w:r w:rsidRPr="00DF2611">
        <w:rPr>
          <w:rFonts w:ascii="Arial" w:hAnsi="Arial" w:cs="Arial"/>
          <w:i/>
          <w:sz w:val="24"/>
        </w:rPr>
        <w:t>on</w:t>
      </w:r>
      <w:r w:rsidRPr="00DF2611">
        <w:rPr>
          <w:rFonts w:ascii="Arial" w:hAnsi="Arial" w:cs="Arial"/>
          <w:i/>
          <w:spacing w:val="-12"/>
          <w:sz w:val="24"/>
        </w:rPr>
        <w:t xml:space="preserve"> </w:t>
      </w:r>
      <w:r w:rsidRPr="00DF2611">
        <w:rPr>
          <w:rFonts w:ascii="Arial" w:hAnsi="Arial" w:cs="Arial"/>
          <w:i/>
          <w:sz w:val="24"/>
        </w:rPr>
        <w:t>the</w:t>
      </w:r>
      <w:r w:rsidRPr="00DF2611">
        <w:rPr>
          <w:rFonts w:ascii="Arial" w:hAnsi="Arial" w:cs="Arial"/>
          <w:i/>
          <w:spacing w:val="-9"/>
          <w:sz w:val="24"/>
        </w:rPr>
        <w:t xml:space="preserve"> </w:t>
      </w:r>
      <w:r w:rsidRPr="00DF2611">
        <w:rPr>
          <w:rFonts w:ascii="Arial" w:hAnsi="Arial" w:cs="Arial"/>
          <w:i/>
          <w:sz w:val="24"/>
        </w:rPr>
        <w:t>existence</w:t>
      </w:r>
      <w:r w:rsidRPr="00DF2611">
        <w:rPr>
          <w:rFonts w:ascii="Arial" w:hAnsi="Arial" w:cs="Arial"/>
          <w:i/>
          <w:spacing w:val="-13"/>
          <w:sz w:val="24"/>
        </w:rPr>
        <w:t xml:space="preserve"> </w:t>
      </w:r>
      <w:r w:rsidRPr="00DF2611">
        <w:rPr>
          <w:rFonts w:ascii="Arial" w:hAnsi="Arial" w:cs="Arial"/>
          <w:i/>
          <w:sz w:val="24"/>
        </w:rPr>
        <w:t>of</w:t>
      </w:r>
      <w:r w:rsidRPr="00DF2611">
        <w:rPr>
          <w:rFonts w:ascii="Arial" w:hAnsi="Arial" w:cs="Arial"/>
          <w:i/>
          <w:spacing w:val="-11"/>
          <w:sz w:val="24"/>
        </w:rPr>
        <w:t xml:space="preserve"> </w:t>
      </w:r>
      <w:r w:rsidRPr="00DF2611">
        <w:rPr>
          <w:rFonts w:ascii="Arial" w:hAnsi="Arial" w:cs="Arial"/>
          <w:i/>
          <w:sz w:val="24"/>
        </w:rPr>
        <w:t>a</w:t>
      </w:r>
      <w:r w:rsidRPr="00DF2611">
        <w:rPr>
          <w:rFonts w:ascii="Arial" w:hAnsi="Arial" w:cs="Arial"/>
          <w:i/>
          <w:spacing w:val="-12"/>
          <w:sz w:val="24"/>
        </w:rPr>
        <w:t xml:space="preserve"> </w:t>
      </w:r>
      <w:r w:rsidRPr="00DF2611">
        <w:rPr>
          <w:rFonts w:ascii="Arial" w:hAnsi="Arial" w:cs="Arial"/>
          <w:i/>
          <w:sz w:val="24"/>
        </w:rPr>
        <w:t>government</w:t>
      </w:r>
      <w:r w:rsidRPr="00DF2611">
        <w:rPr>
          <w:rFonts w:ascii="Arial" w:hAnsi="Arial" w:cs="Arial"/>
          <w:i/>
          <w:spacing w:val="-11"/>
          <w:sz w:val="24"/>
        </w:rPr>
        <w:t xml:space="preserve"> </w:t>
      </w:r>
      <w:r w:rsidRPr="00DF2611">
        <w:rPr>
          <w:rFonts w:ascii="Arial" w:hAnsi="Arial" w:cs="Arial"/>
          <w:i/>
          <w:sz w:val="24"/>
        </w:rPr>
        <w:t>practice</w:t>
      </w:r>
      <w:r w:rsidRPr="00DF2611">
        <w:rPr>
          <w:rFonts w:ascii="Arial" w:hAnsi="Arial" w:cs="Arial"/>
          <w:i/>
          <w:spacing w:val="-13"/>
          <w:sz w:val="24"/>
        </w:rPr>
        <w:t xml:space="preserve"> </w:t>
      </w:r>
      <w:r w:rsidRPr="00DF2611">
        <w:rPr>
          <w:rFonts w:ascii="Arial" w:hAnsi="Arial" w:cs="Arial"/>
          <w:i/>
          <w:sz w:val="24"/>
        </w:rPr>
        <w:t>that</w:t>
      </w:r>
      <w:r w:rsidRPr="00DF2611">
        <w:rPr>
          <w:rFonts w:ascii="Arial" w:hAnsi="Arial" w:cs="Arial"/>
          <w:i/>
          <w:spacing w:val="-10"/>
          <w:sz w:val="24"/>
        </w:rPr>
        <w:t xml:space="preserve"> </w:t>
      </w:r>
      <w:r w:rsidRPr="00DF2611">
        <w:rPr>
          <w:rFonts w:ascii="Arial" w:hAnsi="Arial" w:cs="Arial"/>
          <w:i/>
          <w:sz w:val="24"/>
        </w:rPr>
        <w:t>involves</w:t>
      </w:r>
      <w:r w:rsidRPr="00DF2611">
        <w:rPr>
          <w:rFonts w:ascii="Arial" w:hAnsi="Arial" w:cs="Arial"/>
          <w:i/>
          <w:spacing w:val="-12"/>
          <w:sz w:val="24"/>
        </w:rPr>
        <w:t xml:space="preserve"> </w:t>
      </w:r>
      <w:r w:rsidRPr="00DF2611">
        <w:rPr>
          <w:rFonts w:ascii="Arial" w:hAnsi="Arial" w:cs="Arial"/>
          <w:i/>
          <w:sz w:val="24"/>
        </w:rPr>
        <w:t>an</w:t>
      </w:r>
      <w:r w:rsidRPr="00DF2611">
        <w:rPr>
          <w:rFonts w:ascii="Arial" w:hAnsi="Arial" w:cs="Arial"/>
          <w:i/>
          <w:spacing w:val="-9"/>
          <w:sz w:val="24"/>
        </w:rPr>
        <w:t xml:space="preserve"> </w:t>
      </w:r>
      <w:r w:rsidRPr="00DF2611">
        <w:rPr>
          <w:rFonts w:ascii="Arial" w:hAnsi="Arial" w:cs="Arial"/>
          <w:i/>
          <w:sz w:val="24"/>
        </w:rPr>
        <w:t>obligation</w:t>
      </w:r>
      <w:r w:rsidRPr="00DF2611">
        <w:rPr>
          <w:rFonts w:ascii="Arial" w:hAnsi="Arial" w:cs="Arial"/>
          <w:i/>
          <w:spacing w:val="-12"/>
          <w:sz w:val="24"/>
        </w:rPr>
        <w:t xml:space="preserve"> </w:t>
      </w:r>
      <w:r w:rsidRPr="00DF2611">
        <w:rPr>
          <w:rFonts w:ascii="Arial" w:hAnsi="Arial" w:cs="Arial"/>
          <w:i/>
          <w:sz w:val="24"/>
        </w:rPr>
        <w:t>to</w:t>
      </w:r>
      <w:r w:rsidRPr="00DF2611">
        <w:rPr>
          <w:rFonts w:ascii="Arial" w:hAnsi="Arial" w:cs="Arial"/>
          <w:i/>
          <w:spacing w:val="-11"/>
          <w:sz w:val="24"/>
        </w:rPr>
        <w:t xml:space="preserve"> </w:t>
      </w:r>
      <w:r w:rsidRPr="00DF2611">
        <w:rPr>
          <w:rFonts w:ascii="Arial" w:hAnsi="Arial" w:cs="Arial"/>
          <w:i/>
          <w:sz w:val="24"/>
        </w:rPr>
        <w:t>make</w:t>
      </w:r>
      <w:r w:rsidRPr="00DF2611">
        <w:rPr>
          <w:rFonts w:ascii="Arial" w:hAnsi="Arial" w:cs="Arial"/>
          <w:i/>
          <w:spacing w:val="-13"/>
          <w:sz w:val="24"/>
        </w:rPr>
        <w:t xml:space="preserve"> </w:t>
      </w:r>
      <w:r w:rsidRPr="00DF2611">
        <w:rPr>
          <w:rFonts w:ascii="Arial" w:hAnsi="Arial" w:cs="Arial"/>
          <w:i/>
          <w:sz w:val="24"/>
        </w:rPr>
        <w:t>a</w:t>
      </w:r>
      <w:r w:rsidRPr="00DF2611">
        <w:rPr>
          <w:rFonts w:ascii="Arial" w:hAnsi="Arial" w:cs="Arial"/>
          <w:i/>
          <w:spacing w:val="-9"/>
          <w:sz w:val="24"/>
        </w:rPr>
        <w:t xml:space="preserve"> </w:t>
      </w:r>
      <w:r w:rsidRPr="00DF2611">
        <w:rPr>
          <w:rFonts w:ascii="Arial" w:hAnsi="Arial" w:cs="Arial"/>
          <w:i/>
          <w:sz w:val="24"/>
        </w:rPr>
        <w:t>direct transfer of funds which, in and of itself, is claimed and capable of conferring a benefit on the recipient</w:t>
      </w:r>
      <w:r w:rsidRPr="00DF2611">
        <w:rPr>
          <w:rFonts w:ascii="Arial" w:hAnsi="Arial" w:cs="Arial"/>
          <w:i/>
          <w:spacing w:val="-11"/>
          <w:sz w:val="24"/>
        </w:rPr>
        <w:t xml:space="preserve"> </w:t>
      </w:r>
      <w:r w:rsidRPr="00DF2611">
        <w:rPr>
          <w:rFonts w:ascii="Arial" w:hAnsi="Arial" w:cs="Arial"/>
          <w:i/>
          <w:sz w:val="24"/>
        </w:rPr>
        <w:t>that</w:t>
      </w:r>
      <w:r w:rsidRPr="00DF2611">
        <w:rPr>
          <w:rFonts w:ascii="Arial" w:hAnsi="Arial" w:cs="Arial"/>
          <w:i/>
          <w:spacing w:val="-10"/>
          <w:sz w:val="24"/>
        </w:rPr>
        <w:t xml:space="preserve"> </w:t>
      </w:r>
      <w:r w:rsidRPr="00DF2611">
        <w:rPr>
          <w:rFonts w:ascii="Arial" w:hAnsi="Arial" w:cs="Arial"/>
          <w:i/>
          <w:sz w:val="24"/>
        </w:rPr>
        <w:t>is</w:t>
      </w:r>
      <w:r w:rsidRPr="00DF2611">
        <w:rPr>
          <w:rFonts w:ascii="Arial" w:hAnsi="Arial" w:cs="Arial"/>
          <w:i/>
          <w:spacing w:val="-10"/>
          <w:sz w:val="24"/>
        </w:rPr>
        <w:t xml:space="preserve"> </w:t>
      </w:r>
      <w:r w:rsidRPr="00DF2611">
        <w:rPr>
          <w:rFonts w:ascii="Arial" w:hAnsi="Arial" w:cs="Arial"/>
          <w:i/>
          <w:sz w:val="24"/>
        </w:rPr>
        <w:t>separate</w:t>
      </w:r>
      <w:r w:rsidRPr="00DF2611">
        <w:rPr>
          <w:rFonts w:ascii="Arial" w:hAnsi="Arial" w:cs="Arial"/>
          <w:i/>
          <w:spacing w:val="-14"/>
          <w:sz w:val="24"/>
        </w:rPr>
        <w:t xml:space="preserve"> </w:t>
      </w:r>
      <w:r w:rsidRPr="00DF2611">
        <w:rPr>
          <w:rFonts w:ascii="Arial" w:hAnsi="Arial" w:cs="Arial"/>
          <w:i/>
          <w:sz w:val="24"/>
        </w:rPr>
        <w:t>and</w:t>
      </w:r>
      <w:r w:rsidRPr="00DF2611">
        <w:rPr>
          <w:rFonts w:ascii="Arial" w:hAnsi="Arial" w:cs="Arial"/>
          <w:i/>
          <w:spacing w:val="-11"/>
          <w:sz w:val="24"/>
        </w:rPr>
        <w:t xml:space="preserve"> </w:t>
      </w:r>
      <w:r w:rsidRPr="00DF2611">
        <w:rPr>
          <w:rFonts w:ascii="Arial" w:hAnsi="Arial" w:cs="Arial"/>
          <w:i/>
          <w:sz w:val="24"/>
        </w:rPr>
        <w:t>independent</w:t>
      </w:r>
      <w:r w:rsidRPr="00DF2611">
        <w:rPr>
          <w:rFonts w:ascii="Arial" w:hAnsi="Arial" w:cs="Arial"/>
          <w:i/>
          <w:spacing w:val="-10"/>
          <w:sz w:val="24"/>
        </w:rPr>
        <w:t xml:space="preserve"> </w:t>
      </w:r>
      <w:r w:rsidRPr="00DF2611">
        <w:rPr>
          <w:rFonts w:ascii="Arial" w:hAnsi="Arial" w:cs="Arial"/>
          <w:i/>
          <w:sz w:val="24"/>
        </w:rPr>
        <w:t>to</w:t>
      </w:r>
      <w:r w:rsidRPr="00DF2611">
        <w:rPr>
          <w:rFonts w:ascii="Arial" w:hAnsi="Arial" w:cs="Arial"/>
          <w:i/>
          <w:spacing w:val="-11"/>
          <w:sz w:val="24"/>
        </w:rPr>
        <w:t xml:space="preserve"> </w:t>
      </w:r>
      <w:r w:rsidRPr="00DF2611">
        <w:rPr>
          <w:rFonts w:ascii="Arial" w:hAnsi="Arial" w:cs="Arial"/>
          <w:i/>
          <w:sz w:val="24"/>
        </w:rPr>
        <w:t>the</w:t>
      </w:r>
      <w:r w:rsidRPr="00DF2611">
        <w:rPr>
          <w:rFonts w:ascii="Arial" w:hAnsi="Arial" w:cs="Arial"/>
          <w:i/>
          <w:spacing w:val="-11"/>
          <w:sz w:val="24"/>
        </w:rPr>
        <w:t xml:space="preserve"> </w:t>
      </w:r>
      <w:r w:rsidRPr="00DF2611">
        <w:rPr>
          <w:rFonts w:ascii="Arial" w:hAnsi="Arial" w:cs="Arial"/>
          <w:i/>
          <w:sz w:val="24"/>
        </w:rPr>
        <w:t>benefit</w:t>
      </w:r>
      <w:r w:rsidRPr="00DF2611">
        <w:rPr>
          <w:rFonts w:ascii="Arial" w:hAnsi="Arial" w:cs="Arial"/>
          <w:i/>
          <w:spacing w:val="-10"/>
          <w:sz w:val="24"/>
        </w:rPr>
        <w:t xml:space="preserve"> </w:t>
      </w:r>
      <w:r w:rsidRPr="00DF2611">
        <w:rPr>
          <w:rFonts w:ascii="Arial" w:hAnsi="Arial" w:cs="Arial"/>
          <w:i/>
          <w:sz w:val="24"/>
        </w:rPr>
        <w:t>that</w:t>
      </w:r>
      <w:r w:rsidRPr="00DF2611">
        <w:rPr>
          <w:rFonts w:ascii="Arial" w:hAnsi="Arial" w:cs="Arial"/>
          <w:i/>
          <w:spacing w:val="-12"/>
          <w:sz w:val="24"/>
        </w:rPr>
        <w:t xml:space="preserve"> </w:t>
      </w:r>
      <w:r w:rsidRPr="00DF2611">
        <w:rPr>
          <w:rFonts w:ascii="Arial" w:hAnsi="Arial" w:cs="Arial"/>
          <w:i/>
          <w:sz w:val="24"/>
        </w:rPr>
        <w:t>might</w:t>
      </w:r>
      <w:r w:rsidRPr="00DF2611">
        <w:rPr>
          <w:rFonts w:ascii="Arial" w:hAnsi="Arial" w:cs="Arial"/>
          <w:i/>
          <w:spacing w:val="-10"/>
          <w:sz w:val="24"/>
        </w:rPr>
        <w:t xml:space="preserve"> </w:t>
      </w:r>
      <w:r w:rsidRPr="00DF2611">
        <w:rPr>
          <w:rFonts w:ascii="Arial" w:hAnsi="Arial" w:cs="Arial"/>
          <w:i/>
          <w:sz w:val="24"/>
        </w:rPr>
        <w:t>be</w:t>
      </w:r>
      <w:r w:rsidRPr="00DF2611">
        <w:rPr>
          <w:rFonts w:ascii="Arial" w:hAnsi="Arial" w:cs="Arial"/>
          <w:i/>
          <w:spacing w:val="-12"/>
          <w:sz w:val="24"/>
        </w:rPr>
        <w:t xml:space="preserve"> </w:t>
      </w:r>
      <w:r w:rsidRPr="00DF2611">
        <w:rPr>
          <w:rFonts w:ascii="Arial" w:hAnsi="Arial" w:cs="Arial"/>
          <w:i/>
          <w:sz w:val="24"/>
        </w:rPr>
        <w:t>conferred</w:t>
      </w:r>
      <w:r w:rsidRPr="00DF2611">
        <w:rPr>
          <w:rFonts w:ascii="Arial" w:hAnsi="Arial" w:cs="Arial"/>
          <w:i/>
          <w:spacing w:val="-12"/>
          <w:sz w:val="24"/>
        </w:rPr>
        <w:t xml:space="preserve"> </w:t>
      </w:r>
      <w:r w:rsidRPr="00DF2611">
        <w:rPr>
          <w:rFonts w:ascii="Arial" w:hAnsi="Arial" w:cs="Arial"/>
          <w:i/>
          <w:spacing w:val="-3"/>
          <w:sz w:val="24"/>
        </w:rPr>
        <w:t>from</w:t>
      </w:r>
      <w:r w:rsidRPr="00DF2611">
        <w:rPr>
          <w:rFonts w:ascii="Arial" w:hAnsi="Arial" w:cs="Arial"/>
          <w:i/>
          <w:spacing w:val="-11"/>
          <w:sz w:val="24"/>
        </w:rPr>
        <w:t xml:space="preserve"> </w:t>
      </w:r>
      <w:r w:rsidRPr="00DF2611">
        <w:rPr>
          <w:rFonts w:ascii="Arial" w:hAnsi="Arial" w:cs="Arial"/>
          <w:i/>
          <w:sz w:val="24"/>
        </w:rPr>
        <w:t>any</w:t>
      </w:r>
      <w:r w:rsidRPr="00DF2611">
        <w:rPr>
          <w:rFonts w:ascii="Arial" w:hAnsi="Arial" w:cs="Arial"/>
          <w:i/>
          <w:spacing w:val="-12"/>
          <w:sz w:val="24"/>
        </w:rPr>
        <w:t xml:space="preserve"> </w:t>
      </w:r>
      <w:r w:rsidRPr="00DF2611">
        <w:rPr>
          <w:rFonts w:ascii="Arial" w:hAnsi="Arial" w:cs="Arial"/>
          <w:i/>
          <w:sz w:val="24"/>
        </w:rPr>
        <w:t>future transfer of funds</w:t>
      </w:r>
      <w:r w:rsidRPr="00DF2611">
        <w:rPr>
          <w:rFonts w:ascii="Arial" w:hAnsi="Arial" w:cs="Arial"/>
          <w:sz w:val="24"/>
        </w:rPr>
        <w:t>.”</w:t>
      </w:r>
      <w:r w:rsidR="00DF2611">
        <w:rPr>
          <w:rStyle w:val="ab"/>
          <w:rFonts w:ascii="Arial" w:hAnsi="Arial" w:cs="Arial"/>
          <w:sz w:val="24"/>
        </w:rPr>
        <w:footnoteReference w:id="31"/>
      </w:r>
    </w:p>
    <w:p w14:paraId="7606E103" w14:textId="77777777" w:rsidR="00B30A18" w:rsidRPr="00B30A18" w:rsidRDefault="00B30A18" w:rsidP="00B30A18">
      <w:pPr>
        <w:pStyle w:val="a9"/>
        <w:widowControl w:val="0"/>
        <w:tabs>
          <w:tab w:val="left" w:pos="917"/>
        </w:tabs>
        <w:autoSpaceDE w:val="0"/>
        <w:autoSpaceDN w:val="0"/>
        <w:spacing w:before="1"/>
        <w:ind w:right="95"/>
        <w:rPr>
          <w:rFonts w:ascii="Arial" w:hAnsi="Arial" w:cs="Arial"/>
          <w:sz w:val="24"/>
          <w:szCs w:val="24"/>
        </w:rPr>
      </w:pPr>
    </w:p>
    <w:p w14:paraId="730F7535" w14:textId="2A82C687" w:rsidR="00B30A18" w:rsidRPr="00B30A18" w:rsidRDefault="009B1F6E" w:rsidP="001F79D9">
      <w:pPr>
        <w:pStyle w:val="a7"/>
        <w:numPr>
          <w:ilvl w:val="0"/>
          <w:numId w:val="39"/>
        </w:numPr>
        <w:spacing w:before="100"/>
        <w:ind w:right="95" w:hanging="644"/>
        <w:rPr>
          <w:rFonts w:ascii="Arial" w:hAnsi="Arial" w:cs="Arial"/>
          <w:sz w:val="24"/>
          <w:szCs w:val="24"/>
        </w:rPr>
      </w:pPr>
      <w:r w:rsidRPr="00B30A18">
        <w:rPr>
          <w:rFonts w:ascii="Arial" w:hAnsi="Arial" w:cs="Arial"/>
          <w:sz w:val="24"/>
        </w:rPr>
        <w:t>Furthermore, credit lines establish only a borrowing limit that a company can use; there is no financial</w:t>
      </w:r>
      <w:r w:rsidRPr="00B30A18">
        <w:rPr>
          <w:rFonts w:ascii="Arial" w:hAnsi="Arial" w:cs="Arial"/>
          <w:spacing w:val="26"/>
          <w:sz w:val="24"/>
        </w:rPr>
        <w:t xml:space="preserve"> </w:t>
      </w:r>
      <w:r w:rsidRPr="00B30A18">
        <w:rPr>
          <w:rFonts w:ascii="Arial" w:hAnsi="Arial" w:cs="Arial"/>
          <w:sz w:val="24"/>
        </w:rPr>
        <w:t>contribution</w:t>
      </w:r>
      <w:r w:rsidRPr="00B30A18">
        <w:rPr>
          <w:rFonts w:ascii="Arial" w:hAnsi="Arial" w:cs="Arial"/>
          <w:spacing w:val="28"/>
          <w:sz w:val="24"/>
        </w:rPr>
        <w:t xml:space="preserve"> </w:t>
      </w:r>
      <w:r w:rsidRPr="00B30A18">
        <w:rPr>
          <w:rFonts w:ascii="Arial" w:hAnsi="Arial" w:cs="Arial"/>
          <w:sz w:val="24"/>
        </w:rPr>
        <w:t>in</w:t>
      </w:r>
      <w:r w:rsidRPr="00B30A18">
        <w:rPr>
          <w:rFonts w:ascii="Arial" w:hAnsi="Arial" w:cs="Arial"/>
          <w:spacing w:val="27"/>
          <w:sz w:val="24"/>
        </w:rPr>
        <w:t xml:space="preserve"> </w:t>
      </w:r>
      <w:r w:rsidRPr="00B30A18">
        <w:rPr>
          <w:rFonts w:ascii="Arial" w:hAnsi="Arial" w:cs="Arial"/>
          <w:sz w:val="24"/>
        </w:rPr>
        <w:t>that</w:t>
      </w:r>
      <w:r w:rsidRPr="00B30A18">
        <w:rPr>
          <w:rFonts w:ascii="Arial" w:hAnsi="Arial" w:cs="Arial"/>
          <w:spacing w:val="27"/>
          <w:sz w:val="24"/>
        </w:rPr>
        <w:t xml:space="preserve"> </w:t>
      </w:r>
      <w:r w:rsidRPr="00B30A18">
        <w:rPr>
          <w:rFonts w:ascii="Arial" w:hAnsi="Arial" w:cs="Arial"/>
          <w:sz w:val="24"/>
        </w:rPr>
        <w:t>regard.</w:t>
      </w:r>
      <w:r w:rsidRPr="00B30A18">
        <w:rPr>
          <w:rFonts w:ascii="Arial" w:hAnsi="Arial" w:cs="Arial"/>
          <w:spacing w:val="25"/>
          <w:sz w:val="24"/>
        </w:rPr>
        <w:t xml:space="preserve"> </w:t>
      </w:r>
      <w:r w:rsidRPr="00B30A18">
        <w:rPr>
          <w:rFonts w:ascii="Arial" w:hAnsi="Arial" w:cs="Arial"/>
          <w:sz w:val="24"/>
        </w:rPr>
        <w:t>Moreover,</w:t>
      </w:r>
      <w:r w:rsidRPr="00B30A18">
        <w:rPr>
          <w:rFonts w:ascii="Arial" w:hAnsi="Arial" w:cs="Arial"/>
          <w:spacing w:val="29"/>
          <w:sz w:val="24"/>
        </w:rPr>
        <w:t xml:space="preserve"> </w:t>
      </w:r>
      <w:r w:rsidRPr="00B30A18">
        <w:rPr>
          <w:rFonts w:ascii="Arial" w:hAnsi="Arial" w:cs="Arial"/>
          <w:sz w:val="24"/>
          <w:szCs w:val="24"/>
        </w:rPr>
        <w:t>there</w:t>
      </w:r>
      <w:r w:rsidRPr="00B30A18">
        <w:rPr>
          <w:rFonts w:ascii="Arial" w:hAnsi="Arial" w:cs="Arial"/>
          <w:spacing w:val="25"/>
          <w:sz w:val="24"/>
          <w:szCs w:val="24"/>
        </w:rPr>
        <w:t xml:space="preserve"> </w:t>
      </w:r>
      <w:r w:rsidRPr="00B30A18">
        <w:rPr>
          <w:rFonts w:ascii="Arial" w:hAnsi="Arial" w:cs="Arial"/>
          <w:sz w:val="24"/>
          <w:szCs w:val="24"/>
        </w:rPr>
        <w:t>are</w:t>
      </w:r>
      <w:r w:rsidRPr="00B30A18">
        <w:rPr>
          <w:rFonts w:ascii="Arial" w:hAnsi="Arial" w:cs="Arial"/>
          <w:spacing w:val="26"/>
          <w:sz w:val="24"/>
          <w:szCs w:val="24"/>
        </w:rPr>
        <w:t xml:space="preserve"> </w:t>
      </w:r>
      <w:r w:rsidRPr="00B30A18">
        <w:rPr>
          <w:rFonts w:ascii="Arial" w:hAnsi="Arial" w:cs="Arial"/>
          <w:sz w:val="24"/>
          <w:szCs w:val="24"/>
        </w:rPr>
        <w:t>no</w:t>
      </w:r>
      <w:r w:rsidRPr="00B30A18">
        <w:rPr>
          <w:rFonts w:ascii="Arial" w:hAnsi="Arial" w:cs="Arial"/>
          <w:spacing w:val="27"/>
          <w:sz w:val="24"/>
          <w:szCs w:val="24"/>
        </w:rPr>
        <w:t xml:space="preserve"> </w:t>
      </w:r>
      <w:r w:rsidRPr="00B30A18">
        <w:rPr>
          <w:rFonts w:ascii="Arial" w:hAnsi="Arial" w:cs="Arial"/>
          <w:sz w:val="24"/>
          <w:szCs w:val="24"/>
        </w:rPr>
        <w:t>world-wide</w:t>
      </w:r>
      <w:r w:rsidRPr="00B30A18">
        <w:rPr>
          <w:rFonts w:ascii="Arial" w:hAnsi="Arial" w:cs="Arial"/>
          <w:spacing w:val="27"/>
          <w:sz w:val="24"/>
          <w:szCs w:val="24"/>
        </w:rPr>
        <w:t xml:space="preserve"> </w:t>
      </w:r>
      <w:r w:rsidRPr="00B30A18">
        <w:rPr>
          <w:rFonts w:ascii="Arial" w:hAnsi="Arial" w:cs="Arial"/>
          <w:sz w:val="24"/>
          <w:szCs w:val="24"/>
        </w:rPr>
        <w:t>accepted</w:t>
      </w:r>
      <w:r w:rsidRPr="00B30A18">
        <w:rPr>
          <w:rFonts w:ascii="Arial" w:hAnsi="Arial" w:cs="Arial"/>
          <w:spacing w:val="27"/>
          <w:sz w:val="24"/>
          <w:szCs w:val="24"/>
        </w:rPr>
        <w:t xml:space="preserve"> </w:t>
      </w:r>
      <w:r w:rsidRPr="00B30A18">
        <w:rPr>
          <w:rFonts w:ascii="Arial" w:hAnsi="Arial" w:cs="Arial"/>
          <w:sz w:val="24"/>
          <w:szCs w:val="24"/>
        </w:rPr>
        <w:t>standards</w:t>
      </w:r>
      <w:bookmarkEnd w:id="19"/>
      <w:r w:rsidR="00DF2611" w:rsidRPr="00B30A18">
        <w:rPr>
          <w:rFonts w:ascii="Arial" w:hAnsi="Arial" w:cs="Arial"/>
          <w:sz w:val="24"/>
          <w:szCs w:val="24"/>
        </w:rPr>
        <w:t xml:space="preserve"> </w:t>
      </w:r>
      <w:bookmarkStart w:id="21" w:name="_Hlk161120519"/>
      <w:r w:rsidR="00B30A18" w:rsidRPr="00B30A18">
        <w:rPr>
          <w:rFonts w:ascii="Arial" w:hAnsi="Arial" w:cs="Arial"/>
          <w:sz w:val="24"/>
          <w:szCs w:val="24"/>
        </w:rPr>
        <w:t>regarding the opening of a credit line or its operation. Universally, credit lines differ between banks and customers. Indeed, the amounts and conditions of credit lines are customer-specific.</w:t>
      </w:r>
      <w:bookmarkEnd w:id="21"/>
    </w:p>
    <w:p w14:paraId="0AC1B3E5" w14:textId="77777777" w:rsidR="00B30A18" w:rsidRPr="00B30A18" w:rsidRDefault="00B30A18" w:rsidP="00B30A18">
      <w:pPr>
        <w:pStyle w:val="a9"/>
        <w:widowControl w:val="0"/>
        <w:tabs>
          <w:tab w:val="left" w:pos="917"/>
        </w:tabs>
        <w:autoSpaceDE w:val="0"/>
        <w:autoSpaceDN w:val="0"/>
        <w:spacing w:before="1"/>
        <w:ind w:right="95"/>
        <w:rPr>
          <w:rFonts w:ascii="Arial" w:hAnsi="Arial" w:cs="Arial"/>
          <w:sz w:val="24"/>
          <w:szCs w:val="24"/>
        </w:rPr>
      </w:pPr>
      <w:bookmarkStart w:id="22" w:name="_Hlk161120913"/>
    </w:p>
    <w:p w14:paraId="188B09AF" w14:textId="5F6DDC02" w:rsidR="00B30A18" w:rsidRPr="00B30A18" w:rsidRDefault="00B30A18" w:rsidP="001F79D9">
      <w:pPr>
        <w:pStyle w:val="a9"/>
        <w:widowControl w:val="0"/>
        <w:numPr>
          <w:ilvl w:val="0"/>
          <w:numId w:val="39"/>
        </w:numPr>
        <w:tabs>
          <w:tab w:val="left" w:pos="917"/>
        </w:tabs>
        <w:autoSpaceDE w:val="0"/>
        <w:autoSpaceDN w:val="0"/>
        <w:ind w:right="95" w:hanging="644"/>
        <w:rPr>
          <w:rFonts w:ascii="Arial" w:hAnsi="Arial" w:cs="Arial"/>
          <w:sz w:val="24"/>
        </w:rPr>
      </w:pPr>
      <w:r w:rsidRPr="00B30A18">
        <w:rPr>
          <w:rFonts w:ascii="Arial" w:hAnsi="Arial" w:cs="Arial"/>
          <w:sz w:val="24"/>
        </w:rPr>
        <w:t xml:space="preserve">Third, as confirmed by the Appellate Body in </w:t>
      </w:r>
      <w:r w:rsidRPr="00B30A18">
        <w:rPr>
          <w:rFonts w:ascii="Arial" w:hAnsi="Arial" w:cs="Arial"/>
          <w:i/>
          <w:sz w:val="24"/>
        </w:rPr>
        <w:t>EC and certain member States – Large Civil Aircraft</w:t>
      </w:r>
      <w:r w:rsidRPr="00B30A18">
        <w:rPr>
          <w:rFonts w:ascii="Arial" w:hAnsi="Arial" w:cs="Arial"/>
          <w:sz w:val="24"/>
        </w:rPr>
        <w:t>, a “benefit” only exists if the financial contribution at issue makes the recipient better off than it would otherwise have been, absent that contribution.</w:t>
      </w:r>
      <w:r w:rsidRPr="00B30A18">
        <w:rPr>
          <w:rFonts w:ascii="Arial" w:hAnsi="Arial" w:cs="Arial"/>
          <w:sz w:val="24"/>
          <w:vertAlign w:val="superscript"/>
        </w:rPr>
        <w:t>97</w:t>
      </w:r>
      <w:r w:rsidRPr="00B30A18">
        <w:rPr>
          <w:rFonts w:ascii="Arial" w:hAnsi="Arial" w:cs="Arial"/>
          <w:sz w:val="24"/>
        </w:rPr>
        <w:t xml:space="preserve"> The Appellate Body further clarified that the marketplace provides an appropriate benchmark for this comparison to be made.</w:t>
      </w:r>
      <w:r>
        <w:rPr>
          <w:rStyle w:val="ab"/>
          <w:rFonts w:ascii="Arial" w:hAnsi="Arial" w:cs="Arial"/>
          <w:sz w:val="24"/>
        </w:rPr>
        <w:footnoteReference w:id="32"/>
      </w:r>
      <w:r w:rsidRPr="00B30A18">
        <w:rPr>
          <w:rFonts w:ascii="Arial" w:hAnsi="Arial" w:cs="Arial"/>
          <w:sz w:val="24"/>
        </w:rPr>
        <w:t xml:space="preserve"> In other words, in order for a benefit to exist, the recipient must have received a financial</w:t>
      </w:r>
      <w:r w:rsidRPr="00B30A18">
        <w:rPr>
          <w:rFonts w:ascii="Arial" w:hAnsi="Arial" w:cs="Arial"/>
          <w:spacing w:val="-11"/>
          <w:sz w:val="24"/>
        </w:rPr>
        <w:t xml:space="preserve"> </w:t>
      </w:r>
      <w:r w:rsidRPr="00B30A18">
        <w:rPr>
          <w:rFonts w:ascii="Arial" w:hAnsi="Arial" w:cs="Arial"/>
          <w:sz w:val="24"/>
        </w:rPr>
        <w:t>contribution</w:t>
      </w:r>
      <w:r w:rsidRPr="00B30A18">
        <w:rPr>
          <w:rFonts w:ascii="Arial" w:hAnsi="Arial" w:cs="Arial"/>
          <w:spacing w:val="-12"/>
          <w:sz w:val="24"/>
        </w:rPr>
        <w:t xml:space="preserve"> </w:t>
      </w:r>
      <w:r w:rsidRPr="00B30A18">
        <w:rPr>
          <w:rFonts w:ascii="Arial" w:hAnsi="Arial" w:cs="Arial"/>
          <w:sz w:val="24"/>
        </w:rPr>
        <w:t>on</w:t>
      </w:r>
      <w:r w:rsidRPr="00B30A18">
        <w:rPr>
          <w:rFonts w:ascii="Arial" w:hAnsi="Arial" w:cs="Arial"/>
          <w:spacing w:val="-11"/>
          <w:sz w:val="24"/>
        </w:rPr>
        <w:t xml:space="preserve"> </w:t>
      </w:r>
      <w:r w:rsidRPr="00B30A18">
        <w:rPr>
          <w:rFonts w:ascii="Arial" w:hAnsi="Arial" w:cs="Arial"/>
          <w:sz w:val="24"/>
        </w:rPr>
        <w:t>terms</w:t>
      </w:r>
      <w:r w:rsidRPr="00B30A18">
        <w:rPr>
          <w:rFonts w:ascii="Arial" w:hAnsi="Arial" w:cs="Arial"/>
          <w:spacing w:val="-12"/>
          <w:sz w:val="24"/>
        </w:rPr>
        <w:t xml:space="preserve"> </w:t>
      </w:r>
      <w:r w:rsidRPr="00B30A18">
        <w:rPr>
          <w:rFonts w:ascii="Arial" w:hAnsi="Arial" w:cs="Arial"/>
          <w:sz w:val="24"/>
        </w:rPr>
        <w:t>more</w:t>
      </w:r>
      <w:r w:rsidRPr="00B30A18">
        <w:rPr>
          <w:rFonts w:ascii="Arial" w:hAnsi="Arial" w:cs="Arial"/>
          <w:spacing w:val="-12"/>
          <w:sz w:val="24"/>
        </w:rPr>
        <w:t xml:space="preserve"> </w:t>
      </w:r>
      <w:r w:rsidRPr="00B30A18">
        <w:rPr>
          <w:rFonts w:ascii="Arial" w:hAnsi="Arial" w:cs="Arial"/>
          <w:sz w:val="24"/>
        </w:rPr>
        <w:t>favourable</w:t>
      </w:r>
      <w:r w:rsidRPr="00B30A18">
        <w:rPr>
          <w:rFonts w:ascii="Arial" w:hAnsi="Arial" w:cs="Arial"/>
          <w:spacing w:val="-13"/>
          <w:sz w:val="24"/>
        </w:rPr>
        <w:t xml:space="preserve"> </w:t>
      </w:r>
      <w:r w:rsidRPr="00B30A18">
        <w:rPr>
          <w:rFonts w:ascii="Arial" w:hAnsi="Arial" w:cs="Arial"/>
          <w:sz w:val="24"/>
        </w:rPr>
        <w:t>than</w:t>
      </w:r>
      <w:r w:rsidRPr="00B30A18">
        <w:rPr>
          <w:rFonts w:ascii="Arial" w:hAnsi="Arial" w:cs="Arial"/>
          <w:spacing w:val="-13"/>
          <w:sz w:val="24"/>
        </w:rPr>
        <w:t xml:space="preserve"> </w:t>
      </w:r>
      <w:r w:rsidRPr="00B30A18">
        <w:rPr>
          <w:rFonts w:ascii="Arial" w:hAnsi="Arial" w:cs="Arial"/>
          <w:sz w:val="24"/>
        </w:rPr>
        <w:t>those</w:t>
      </w:r>
      <w:r w:rsidRPr="00B30A18">
        <w:rPr>
          <w:rFonts w:ascii="Arial" w:hAnsi="Arial" w:cs="Arial"/>
          <w:spacing w:val="-10"/>
          <w:sz w:val="24"/>
        </w:rPr>
        <w:t xml:space="preserve"> </w:t>
      </w:r>
      <w:r w:rsidRPr="00B30A18">
        <w:rPr>
          <w:rFonts w:ascii="Arial" w:hAnsi="Arial" w:cs="Arial"/>
          <w:sz w:val="24"/>
        </w:rPr>
        <w:t>available</w:t>
      </w:r>
      <w:r w:rsidRPr="00B30A18">
        <w:rPr>
          <w:rFonts w:ascii="Arial" w:hAnsi="Arial" w:cs="Arial"/>
          <w:spacing w:val="-13"/>
          <w:sz w:val="24"/>
        </w:rPr>
        <w:t xml:space="preserve"> </w:t>
      </w:r>
      <w:r w:rsidRPr="00B30A18">
        <w:rPr>
          <w:rFonts w:ascii="Arial" w:hAnsi="Arial" w:cs="Arial"/>
          <w:sz w:val="24"/>
        </w:rPr>
        <w:t>on</w:t>
      </w:r>
      <w:r w:rsidRPr="00B30A18">
        <w:rPr>
          <w:rFonts w:ascii="Arial" w:hAnsi="Arial" w:cs="Arial"/>
          <w:spacing w:val="-11"/>
          <w:sz w:val="24"/>
        </w:rPr>
        <w:t xml:space="preserve"> </w:t>
      </w:r>
      <w:r w:rsidRPr="00B30A18">
        <w:rPr>
          <w:rFonts w:ascii="Arial" w:hAnsi="Arial" w:cs="Arial"/>
          <w:sz w:val="24"/>
        </w:rPr>
        <w:t>the</w:t>
      </w:r>
      <w:r w:rsidRPr="00B30A18">
        <w:rPr>
          <w:rFonts w:ascii="Arial" w:hAnsi="Arial" w:cs="Arial"/>
          <w:spacing w:val="-10"/>
          <w:sz w:val="24"/>
        </w:rPr>
        <w:t xml:space="preserve"> </w:t>
      </w:r>
      <w:r w:rsidRPr="00B30A18">
        <w:rPr>
          <w:rFonts w:ascii="Arial" w:hAnsi="Arial" w:cs="Arial"/>
          <w:sz w:val="24"/>
        </w:rPr>
        <w:t>market.</w:t>
      </w:r>
      <w:r>
        <w:rPr>
          <w:rStyle w:val="ab"/>
          <w:rFonts w:ascii="Arial" w:hAnsi="Arial" w:cs="Arial"/>
          <w:sz w:val="24"/>
        </w:rPr>
        <w:footnoteReference w:id="33"/>
      </w:r>
      <w:r w:rsidRPr="00B30A18">
        <w:rPr>
          <w:rFonts w:ascii="Arial" w:hAnsi="Arial" w:cs="Arial"/>
          <w:sz w:val="24"/>
        </w:rPr>
        <w:t xml:space="preserve"> In</w:t>
      </w:r>
      <w:r w:rsidRPr="00B30A18">
        <w:rPr>
          <w:rFonts w:ascii="Arial" w:hAnsi="Arial" w:cs="Arial"/>
          <w:spacing w:val="-13"/>
          <w:sz w:val="24"/>
        </w:rPr>
        <w:t xml:space="preserve"> </w:t>
      </w:r>
      <w:r w:rsidRPr="00B30A18">
        <w:rPr>
          <w:rFonts w:ascii="Arial" w:hAnsi="Arial" w:cs="Arial"/>
          <w:i/>
          <w:sz w:val="24"/>
        </w:rPr>
        <w:t>EC</w:t>
      </w:r>
      <w:r w:rsidRPr="00B30A18">
        <w:rPr>
          <w:rFonts w:ascii="Arial" w:hAnsi="Arial" w:cs="Arial"/>
          <w:i/>
          <w:spacing w:val="-13"/>
          <w:sz w:val="24"/>
        </w:rPr>
        <w:t xml:space="preserve"> </w:t>
      </w:r>
      <w:r w:rsidRPr="00B30A18">
        <w:rPr>
          <w:rFonts w:ascii="Arial" w:hAnsi="Arial" w:cs="Arial"/>
          <w:i/>
          <w:sz w:val="24"/>
        </w:rPr>
        <w:t>and certain</w:t>
      </w:r>
      <w:r w:rsidRPr="00B30A18">
        <w:rPr>
          <w:rFonts w:ascii="Arial" w:hAnsi="Arial" w:cs="Arial"/>
          <w:i/>
          <w:spacing w:val="-6"/>
          <w:sz w:val="24"/>
        </w:rPr>
        <w:t xml:space="preserve"> </w:t>
      </w:r>
      <w:r w:rsidRPr="00B30A18">
        <w:rPr>
          <w:rFonts w:ascii="Arial" w:hAnsi="Arial" w:cs="Arial"/>
          <w:i/>
          <w:sz w:val="24"/>
        </w:rPr>
        <w:t>member</w:t>
      </w:r>
      <w:r w:rsidRPr="00B30A18">
        <w:rPr>
          <w:rFonts w:ascii="Arial" w:hAnsi="Arial" w:cs="Arial"/>
          <w:i/>
          <w:spacing w:val="-6"/>
          <w:sz w:val="24"/>
        </w:rPr>
        <w:t xml:space="preserve"> </w:t>
      </w:r>
      <w:r w:rsidRPr="00B30A18">
        <w:rPr>
          <w:rFonts w:ascii="Arial" w:hAnsi="Arial" w:cs="Arial"/>
          <w:i/>
          <w:sz w:val="24"/>
        </w:rPr>
        <w:t>States</w:t>
      </w:r>
      <w:r w:rsidRPr="00B30A18">
        <w:rPr>
          <w:rFonts w:ascii="Arial" w:hAnsi="Arial" w:cs="Arial"/>
          <w:i/>
          <w:spacing w:val="-2"/>
          <w:sz w:val="24"/>
        </w:rPr>
        <w:t xml:space="preserve"> </w:t>
      </w:r>
      <w:r w:rsidRPr="00B30A18">
        <w:rPr>
          <w:rFonts w:ascii="Arial" w:hAnsi="Arial" w:cs="Arial"/>
          <w:i/>
          <w:sz w:val="24"/>
        </w:rPr>
        <w:t>–</w:t>
      </w:r>
      <w:r w:rsidRPr="00B30A18">
        <w:rPr>
          <w:rFonts w:ascii="Arial" w:hAnsi="Arial" w:cs="Arial"/>
          <w:i/>
          <w:spacing w:val="-4"/>
          <w:sz w:val="24"/>
        </w:rPr>
        <w:t xml:space="preserve"> </w:t>
      </w:r>
      <w:r w:rsidRPr="00B30A18">
        <w:rPr>
          <w:rFonts w:ascii="Arial" w:hAnsi="Arial" w:cs="Arial"/>
          <w:i/>
          <w:sz w:val="24"/>
        </w:rPr>
        <w:t>Large</w:t>
      </w:r>
      <w:r w:rsidRPr="00B30A18">
        <w:rPr>
          <w:rFonts w:ascii="Arial" w:hAnsi="Arial" w:cs="Arial"/>
          <w:i/>
          <w:spacing w:val="-6"/>
          <w:sz w:val="24"/>
        </w:rPr>
        <w:t xml:space="preserve"> </w:t>
      </w:r>
      <w:r w:rsidRPr="00B30A18">
        <w:rPr>
          <w:rFonts w:ascii="Arial" w:hAnsi="Arial" w:cs="Arial"/>
          <w:i/>
          <w:sz w:val="24"/>
        </w:rPr>
        <w:t>Civil</w:t>
      </w:r>
      <w:r w:rsidRPr="00B30A18">
        <w:rPr>
          <w:rFonts w:ascii="Arial" w:hAnsi="Arial" w:cs="Arial"/>
          <w:i/>
          <w:spacing w:val="-8"/>
          <w:sz w:val="24"/>
        </w:rPr>
        <w:t xml:space="preserve"> </w:t>
      </w:r>
      <w:r w:rsidRPr="00B30A18">
        <w:rPr>
          <w:rFonts w:ascii="Arial" w:hAnsi="Arial" w:cs="Arial"/>
          <w:i/>
          <w:sz w:val="24"/>
        </w:rPr>
        <w:t>Aircraft</w:t>
      </w:r>
      <w:r w:rsidRPr="00B30A18">
        <w:rPr>
          <w:rFonts w:ascii="Arial" w:hAnsi="Arial" w:cs="Arial"/>
          <w:sz w:val="24"/>
        </w:rPr>
        <w:t>,</w:t>
      </w:r>
      <w:r w:rsidRPr="00B30A18">
        <w:rPr>
          <w:rFonts w:ascii="Arial" w:hAnsi="Arial" w:cs="Arial"/>
          <w:spacing w:val="-6"/>
          <w:sz w:val="24"/>
        </w:rPr>
        <w:t xml:space="preserve"> </w:t>
      </w:r>
      <w:r w:rsidRPr="00B30A18">
        <w:rPr>
          <w:rFonts w:ascii="Arial" w:hAnsi="Arial" w:cs="Arial"/>
          <w:sz w:val="24"/>
        </w:rPr>
        <w:t>the</w:t>
      </w:r>
      <w:r w:rsidRPr="00B30A18">
        <w:rPr>
          <w:rFonts w:ascii="Arial" w:hAnsi="Arial" w:cs="Arial"/>
          <w:spacing w:val="-3"/>
          <w:sz w:val="24"/>
        </w:rPr>
        <w:t xml:space="preserve"> </w:t>
      </w:r>
      <w:r w:rsidRPr="00B30A18">
        <w:rPr>
          <w:rFonts w:ascii="Arial" w:hAnsi="Arial" w:cs="Arial"/>
          <w:sz w:val="24"/>
        </w:rPr>
        <w:t>Panel</w:t>
      </w:r>
      <w:r w:rsidRPr="00B30A18">
        <w:rPr>
          <w:rFonts w:ascii="Arial" w:hAnsi="Arial" w:cs="Arial"/>
          <w:spacing w:val="-5"/>
          <w:sz w:val="24"/>
        </w:rPr>
        <w:t xml:space="preserve"> </w:t>
      </w:r>
      <w:r w:rsidRPr="00B30A18">
        <w:rPr>
          <w:rFonts w:ascii="Arial" w:hAnsi="Arial" w:cs="Arial"/>
          <w:sz w:val="24"/>
        </w:rPr>
        <w:t>held</w:t>
      </w:r>
      <w:r w:rsidRPr="00B30A18">
        <w:rPr>
          <w:rFonts w:ascii="Arial" w:hAnsi="Arial" w:cs="Arial"/>
          <w:spacing w:val="-5"/>
          <w:sz w:val="24"/>
        </w:rPr>
        <w:t xml:space="preserve"> </w:t>
      </w:r>
      <w:r w:rsidRPr="00B30A18">
        <w:rPr>
          <w:rFonts w:ascii="Arial" w:hAnsi="Arial" w:cs="Arial"/>
          <w:sz w:val="24"/>
        </w:rPr>
        <w:t>that</w:t>
      </w:r>
      <w:r w:rsidRPr="00B30A18">
        <w:rPr>
          <w:rFonts w:ascii="Arial" w:hAnsi="Arial" w:cs="Arial"/>
          <w:spacing w:val="-5"/>
          <w:sz w:val="24"/>
        </w:rPr>
        <w:t xml:space="preserve"> </w:t>
      </w:r>
      <w:r w:rsidRPr="00B30A18">
        <w:rPr>
          <w:rFonts w:ascii="Arial" w:hAnsi="Arial" w:cs="Arial"/>
          <w:sz w:val="24"/>
        </w:rPr>
        <w:t>the</w:t>
      </w:r>
      <w:r w:rsidRPr="00B30A18">
        <w:rPr>
          <w:rFonts w:ascii="Arial" w:hAnsi="Arial" w:cs="Arial"/>
          <w:spacing w:val="-3"/>
          <w:sz w:val="24"/>
        </w:rPr>
        <w:t xml:space="preserve"> </w:t>
      </w:r>
      <w:r w:rsidRPr="00B30A18">
        <w:rPr>
          <w:rFonts w:ascii="Arial" w:hAnsi="Arial" w:cs="Arial"/>
          <w:sz w:val="24"/>
        </w:rPr>
        <w:t>complainant</w:t>
      </w:r>
      <w:r w:rsidRPr="00B30A18">
        <w:rPr>
          <w:rFonts w:ascii="Arial" w:hAnsi="Arial" w:cs="Arial"/>
          <w:spacing w:val="-5"/>
          <w:sz w:val="24"/>
        </w:rPr>
        <w:t xml:space="preserve"> </w:t>
      </w:r>
      <w:r w:rsidRPr="0060325A">
        <w:rPr>
          <w:rFonts w:ascii="Arial" w:hAnsi="Arial" w:cs="Arial"/>
          <w:i/>
          <w:sz w:val="24"/>
        </w:rPr>
        <w:t>“adduced</w:t>
      </w:r>
      <w:r w:rsidRPr="0060325A">
        <w:rPr>
          <w:rFonts w:ascii="Arial" w:hAnsi="Arial" w:cs="Arial"/>
          <w:i/>
          <w:spacing w:val="-4"/>
          <w:sz w:val="24"/>
        </w:rPr>
        <w:t xml:space="preserve"> </w:t>
      </w:r>
      <w:r w:rsidRPr="0060325A">
        <w:rPr>
          <w:rFonts w:ascii="Arial" w:hAnsi="Arial" w:cs="Arial"/>
          <w:i/>
          <w:sz w:val="24"/>
        </w:rPr>
        <w:t>no evidence nor advanced any particular argument to identify and explain the alleged benefit of the</w:t>
      </w:r>
      <w:r w:rsidRPr="0060325A">
        <w:rPr>
          <w:rFonts w:ascii="Arial" w:hAnsi="Arial" w:cs="Arial"/>
          <w:i/>
          <w:spacing w:val="-9"/>
          <w:sz w:val="24"/>
        </w:rPr>
        <w:t xml:space="preserve"> </w:t>
      </w:r>
      <w:r w:rsidRPr="0060325A">
        <w:rPr>
          <w:rFonts w:ascii="Arial" w:hAnsi="Arial" w:cs="Arial"/>
          <w:i/>
          <w:sz w:val="24"/>
        </w:rPr>
        <w:t>promise</w:t>
      </w:r>
      <w:r w:rsidRPr="0060325A">
        <w:rPr>
          <w:rFonts w:ascii="Arial" w:hAnsi="Arial" w:cs="Arial"/>
          <w:i/>
          <w:spacing w:val="-10"/>
          <w:sz w:val="24"/>
        </w:rPr>
        <w:t xml:space="preserve"> </w:t>
      </w:r>
      <w:r w:rsidRPr="0060325A">
        <w:rPr>
          <w:rFonts w:ascii="Arial" w:hAnsi="Arial" w:cs="Arial"/>
          <w:i/>
          <w:sz w:val="24"/>
        </w:rPr>
        <w:t>to</w:t>
      </w:r>
      <w:r w:rsidRPr="0060325A">
        <w:rPr>
          <w:rFonts w:ascii="Arial" w:hAnsi="Arial" w:cs="Arial"/>
          <w:i/>
          <w:spacing w:val="-8"/>
          <w:sz w:val="24"/>
        </w:rPr>
        <w:t xml:space="preserve"> </w:t>
      </w:r>
      <w:r w:rsidRPr="0060325A">
        <w:rPr>
          <w:rFonts w:ascii="Arial" w:hAnsi="Arial" w:cs="Arial"/>
          <w:i/>
          <w:sz w:val="24"/>
        </w:rPr>
        <w:t>obtain</w:t>
      </w:r>
      <w:r w:rsidRPr="0060325A">
        <w:rPr>
          <w:rFonts w:ascii="Arial" w:hAnsi="Arial" w:cs="Arial"/>
          <w:i/>
          <w:spacing w:val="-9"/>
          <w:sz w:val="24"/>
        </w:rPr>
        <w:t xml:space="preserve"> </w:t>
      </w:r>
      <w:r w:rsidRPr="0060325A">
        <w:rPr>
          <w:rFonts w:ascii="Arial" w:hAnsi="Arial" w:cs="Arial"/>
          <w:i/>
          <w:sz w:val="24"/>
        </w:rPr>
        <w:t>liquidity</w:t>
      </w:r>
      <w:r w:rsidRPr="0060325A">
        <w:rPr>
          <w:rFonts w:ascii="Arial" w:hAnsi="Arial" w:cs="Arial"/>
          <w:i/>
          <w:spacing w:val="-9"/>
          <w:sz w:val="24"/>
        </w:rPr>
        <w:t xml:space="preserve"> </w:t>
      </w:r>
      <w:r w:rsidRPr="0060325A">
        <w:rPr>
          <w:rFonts w:ascii="Arial" w:hAnsi="Arial" w:cs="Arial"/>
          <w:i/>
          <w:sz w:val="24"/>
        </w:rPr>
        <w:t>on</w:t>
      </w:r>
      <w:r w:rsidRPr="0060325A">
        <w:rPr>
          <w:rFonts w:ascii="Arial" w:hAnsi="Arial" w:cs="Arial"/>
          <w:i/>
          <w:spacing w:val="-9"/>
          <w:sz w:val="24"/>
        </w:rPr>
        <w:t xml:space="preserve"> </w:t>
      </w:r>
      <w:r w:rsidRPr="0060325A">
        <w:rPr>
          <w:rFonts w:ascii="Arial" w:hAnsi="Arial" w:cs="Arial"/>
          <w:i/>
          <w:sz w:val="24"/>
        </w:rPr>
        <w:t>favourable</w:t>
      </w:r>
      <w:r w:rsidRPr="0060325A">
        <w:rPr>
          <w:rFonts w:ascii="Arial" w:hAnsi="Arial" w:cs="Arial"/>
          <w:i/>
          <w:spacing w:val="-9"/>
          <w:sz w:val="24"/>
        </w:rPr>
        <w:t xml:space="preserve"> </w:t>
      </w:r>
      <w:r w:rsidRPr="0060325A">
        <w:rPr>
          <w:rFonts w:ascii="Arial" w:hAnsi="Arial" w:cs="Arial"/>
          <w:i/>
          <w:sz w:val="24"/>
        </w:rPr>
        <w:t>terms</w:t>
      </w:r>
      <w:r w:rsidRPr="0060325A">
        <w:rPr>
          <w:rFonts w:ascii="Arial" w:hAnsi="Arial" w:cs="Arial"/>
          <w:i/>
          <w:spacing w:val="-6"/>
          <w:sz w:val="24"/>
        </w:rPr>
        <w:t xml:space="preserve"> </w:t>
      </w:r>
      <w:r w:rsidRPr="0060325A">
        <w:rPr>
          <w:rFonts w:ascii="Arial" w:hAnsi="Arial" w:cs="Arial"/>
          <w:i/>
          <w:sz w:val="24"/>
        </w:rPr>
        <w:t>for</w:t>
      </w:r>
      <w:r w:rsidRPr="0060325A">
        <w:rPr>
          <w:rFonts w:ascii="Arial" w:hAnsi="Arial" w:cs="Arial"/>
          <w:i/>
          <w:spacing w:val="-8"/>
          <w:sz w:val="24"/>
        </w:rPr>
        <w:t xml:space="preserve"> </w:t>
      </w:r>
      <w:r w:rsidRPr="0060325A">
        <w:rPr>
          <w:rFonts w:ascii="Arial" w:hAnsi="Arial" w:cs="Arial"/>
          <w:i/>
          <w:sz w:val="24"/>
        </w:rPr>
        <w:t>EADS.</w:t>
      </w:r>
      <w:r w:rsidRPr="0060325A">
        <w:rPr>
          <w:rFonts w:ascii="Arial" w:hAnsi="Arial" w:cs="Arial"/>
          <w:i/>
          <w:spacing w:val="-8"/>
          <w:sz w:val="24"/>
        </w:rPr>
        <w:t xml:space="preserve"> </w:t>
      </w:r>
      <w:r w:rsidRPr="0060325A">
        <w:rPr>
          <w:rFonts w:ascii="Arial" w:hAnsi="Arial" w:cs="Arial"/>
          <w:i/>
          <w:spacing w:val="-12"/>
          <w:sz w:val="24"/>
        </w:rPr>
        <w:t>We</w:t>
      </w:r>
      <w:r w:rsidRPr="0060325A">
        <w:rPr>
          <w:rFonts w:ascii="Arial" w:hAnsi="Arial" w:cs="Arial"/>
          <w:i/>
          <w:spacing w:val="-10"/>
          <w:sz w:val="24"/>
        </w:rPr>
        <w:t xml:space="preserve"> </w:t>
      </w:r>
      <w:r w:rsidRPr="0060325A">
        <w:rPr>
          <w:rFonts w:ascii="Arial" w:hAnsi="Arial" w:cs="Arial"/>
          <w:i/>
          <w:spacing w:val="-3"/>
          <w:sz w:val="24"/>
        </w:rPr>
        <w:t>are</w:t>
      </w:r>
      <w:r w:rsidRPr="0060325A">
        <w:rPr>
          <w:rFonts w:ascii="Arial" w:hAnsi="Arial" w:cs="Arial"/>
          <w:i/>
          <w:spacing w:val="-10"/>
          <w:sz w:val="24"/>
        </w:rPr>
        <w:t xml:space="preserve"> </w:t>
      </w:r>
      <w:r w:rsidRPr="0060325A">
        <w:rPr>
          <w:rFonts w:ascii="Arial" w:hAnsi="Arial" w:cs="Arial"/>
          <w:i/>
          <w:sz w:val="24"/>
        </w:rPr>
        <w:t>not</w:t>
      </w:r>
      <w:r w:rsidRPr="0060325A">
        <w:rPr>
          <w:rFonts w:ascii="Arial" w:hAnsi="Arial" w:cs="Arial"/>
          <w:i/>
          <w:spacing w:val="-6"/>
          <w:sz w:val="24"/>
        </w:rPr>
        <w:t xml:space="preserve"> </w:t>
      </w:r>
      <w:r w:rsidRPr="0060325A">
        <w:rPr>
          <w:rFonts w:ascii="Arial" w:hAnsi="Arial" w:cs="Arial"/>
          <w:i/>
          <w:sz w:val="24"/>
        </w:rPr>
        <w:t>convinced</w:t>
      </w:r>
      <w:r w:rsidRPr="0060325A">
        <w:rPr>
          <w:rFonts w:ascii="Arial" w:hAnsi="Arial" w:cs="Arial"/>
          <w:i/>
          <w:spacing w:val="-9"/>
          <w:sz w:val="24"/>
        </w:rPr>
        <w:t xml:space="preserve"> </w:t>
      </w:r>
      <w:r w:rsidRPr="0060325A">
        <w:rPr>
          <w:rFonts w:ascii="Arial" w:hAnsi="Arial" w:cs="Arial"/>
          <w:i/>
          <w:sz w:val="24"/>
        </w:rPr>
        <w:t>that</w:t>
      </w:r>
      <w:r w:rsidRPr="0060325A">
        <w:rPr>
          <w:rFonts w:ascii="Arial" w:hAnsi="Arial" w:cs="Arial"/>
          <w:i/>
          <w:spacing w:val="-8"/>
          <w:sz w:val="24"/>
        </w:rPr>
        <w:t xml:space="preserve"> </w:t>
      </w:r>
      <w:r w:rsidRPr="0060325A">
        <w:rPr>
          <w:rFonts w:ascii="Arial" w:hAnsi="Arial" w:cs="Arial"/>
          <w:i/>
          <w:sz w:val="24"/>
        </w:rPr>
        <w:t>simply showing that a credit line has been granted on beneficial terms is enough to establish that it has placed its recipient in a better position than it otherwise would have been in absent availability</w:t>
      </w:r>
      <w:r w:rsidRPr="0060325A">
        <w:rPr>
          <w:rFonts w:ascii="Arial" w:hAnsi="Arial" w:cs="Arial"/>
          <w:i/>
          <w:spacing w:val="-10"/>
          <w:sz w:val="24"/>
        </w:rPr>
        <w:t xml:space="preserve"> </w:t>
      </w:r>
      <w:r w:rsidRPr="0060325A">
        <w:rPr>
          <w:rFonts w:ascii="Arial" w:hAnsi="Arial" w:cs="Arial"/>
          <w:i/>
          <w:sz w:val="24"/>
        </w:rPr>
        <w:t>of</w:t>
      </w:r>
      <w:r w:rsidRPr="0060325A">
        <w:rPr>
          <w:rFonts w:ascii="Arial" w:hAnsi="Arial" w:cs="Arial"/>
          <w:i/>
          <w:spacing w:val="-10"/>
          <w:sz w:val="24"/>
        </w:rPr>
        <w:t xml:space="preserve"> </w:t>
      </w:r>
      <w:r w:rsidRPr="0060325A">
        <w:rPr>
          <w:rFonts w:ascii="Arial" w:hAnsi="Arial" w:cs="Arial"/>
          <w:i/>
          <w:sz w:val="24"/>
        </w:rPr>
        <w:t>the</w:t>
      </w:r>
      <w:r w:rsidRPr="0060325A">
        <w:rPr>
          <w:rFonts w:ascii="Arial" w:hAnsi="Arial" w:cs="Arial"/>
          <w:i/>
          <w:spacing w:val="-8"/>
          <w:sz w:val="24"/>
        </w:rPr>
        <w:t xml:space="preserve"> </w:t>
      </w:r>
      <w:r w:rsidRPr="0060325A">
        <w:rPr>
          <w:rFonts w:ascii="Arial" w:hAnsi="Arial" w:cs="Arial"/>
          <w:i/>
          <w:sz w:val="24"/>
        </w:rPr>
        <w:t>particular</w:t>
      </w:r>
      <w:r w:rsidRPr="0060325A">
        <w:rPr>
          <w:rFonts w:ascii="Arial" w:hAnsi="Arial" w:cs="Arial"/>
          <w:i/>
          <w:spacing w:val="-8"/>
          <w:sz w:val="24"/>
        </w:rPr>
        <w:t xml:space="preserve"> </w:t>
      </w:r>
      <w:r w:rsidRPr="0060325A">
        <w:rPr>
          <w:rFonts w:ascii="Arial" w:hAnsi="Arial" w:cs="Arial"/>
          <w:i/>
          <w:spacing w:val="-2"/>
          <w:sz w:val="24"/>
        </w:rPr>
        <w:t>credit</w:t>
      </w:r>
      <w:r w:rsidRPr="0060325A">
        <w:rPr>
          <w:rFonts w:ascii="Arial" w:hAnsi="Arial" w:cs="Arial"/>
          <w:i/>
          <w:spacing w:val="-7"/>
          <w:sz w:val="24"/>
        </w:rPr>
        <w:t xml:space="preserve"> </w:t>
      </w:r>
      <w:r w:rsidRPr="0060325A">
        <w:rPr>
          <w:rFonts w:ascii="Arial" w:hAnsi="Arial" w:cs="Arial"/>
          <w:i/>
          <w:sz w:val="24"/>
        </w:rPr>
        <w:t>line.</w:t>
      </w:r>
      <w:r w:rsidRPr="0060325A">
        <w:rPr>
          <w:rFonts w:ascii="Arial" w:hAnsi="Arial" w:cs="Arial"/>
          <w:i/>
          <w:spacing w:val="-9"/>
          <w:sz w:val="24"/>
        </w:rPr>
        <w:t xml:space="preserve"> </w:t>
      </w:r>
      <w:r w:rsidRPr="0060325A">
        <w:rPr>
          <w:rFonts w:ascii="Arial" w:hAnsi="Arial" w:cs="Arial"/>
          <w:i/>
          <w:sz w:val="24"/>
        </w:rPr>
        <w:t>In</w:t>
      </w:r>
      <w:r w:rsidRPr="0060325A">
        <w:rPr>
          <w:rFonts w:ascii="Arial" w:hAnsi="Arial" w:cs="Arial"/>
          <w:i/>
          <w:spacing w:val="-8"/>
          <w:sz w:val="24"/>
        </w:rPr>
        <w:t xml:space="preserve"> </w:t>
      </w:r>
      <w:r w:rsidRPr="0060325A">
        <w:rPr>
          <w:rFonts w:ascii="Arial" w:hAnsi="Arial" w:cs="Arial"/>
          <w:i/>
          <w:sz w:val="24"/>
        </w:rPr>
        <w:t>our</w:t>
      </w:r>
      <w:r w:rsidRPr="0060325A">
        <w:rPr>
          <w:rFonts w:ascii="Arial" w:hAnsi="Arial" w:cs="Arial"/>
          <w:i/>
          <w:spacing w:val="-7"/>
          <w:sz w:val="24"/>
        </w:rPr>
        <w:t xml:space="preserve"> </w:t>
      </w:r>
      <w:r w:rsidRPr="0060325A">
        <w:rPr>
          <w:rFonts w:ascii="Arial" w:hAnsi="Arial" w:cs="Arial"/>
          <w:i/>
          <w:spacing w:val="-5"/>
          <w:sz w:val="24"/>
        </w:rPr>
        <w:t>view,</w:t>
      </w:r>
      <w:r w:rsidRPr="0060325A">
        <w:rPr>
          <w:rFonts w:ascii="Arial" w:hAnsi="Arial" w:cs="Arial"/>
          <w:i/>
          <w:spacing w:val="-9"/>
          <w:sz w:val="24"/>
        </w:rPr>
        <w:t xml:space="preserve"> </w:t>
      </w:r>
      <w:r w:rsidRPr="0060325A">
        <w:rPr>
          <w:rFonts w:ascii="Arial" w:hAnsi="Arial" w:cs="Arial"/>
          <w:i/>
          <w:sz w:val="24"/>
        </w:rPr>
        <w:t>something</w:t>
      </w:r>
      <w:r w:rsidRPr="0060325A">
        <w:rPr>
          <w:rFonts w:ascii="Arial" w:hAnsi="Arial" w:cs="Arial"/>
          <w:i/>
          <w:spacing w:val="-8"/>
          <w:sz w:val="24"/>
        </w:rPr>
        <w:t xml:space="preserve"> </w:t>
      </w:r>
      <w:r w:rsidRPr="0060325A">
        <w:rPr>
          <w:rFonts w:ascii="Arial" w:hAnsi="Arial" w:cs="Arial"/>
          <w:i/>
          <w:spacing w:val="-3"/>
          <w:sz w:val="24"/>
        </w:rPr>
        <w:t>more</w:t>
      </w:r>
      <w:r w:rsidRPr="0060325A">
        <w:rPr>
          <w:rFonts w:ascii="Arial" w:hAnsi="Arial" w:cs="Arial"/>
          <w:i/>
          <w:spacing w:val="-9"/>
          <w:sz w:val="24"/>
        </w:rPr>
        <w:t xml:space="preserve"> </w:t>
      </w:r>
      <w:r w:rsidRPr="0060325A">
        <w:rPr>
          <w:rFonts w:ascii="Arial" w:hAnsi="Arial" w:cs="Arial"/>
          <w:i/>
          <w:sz w:val="24"/>
        </w:rPr>
        <w:t>is</w:t>
      </w:r>
      <w:r w:rsidRPr="0060325A">
        <w:rPr>
          <w:rFonts w:ascii="Arial" w:hAnsi="Arial" w:cs="Arial"/>
          <w:i/>
          <w:spacing w:val="-8"/>
          <w:sz w:val="24"/>
        </w:rPr>
        <w:t xml:space="preserve"> </w:t>
      </w:r>
      <w:r w:rsidRPr="0060325A">
        <w:rPr>
          <w:rFonts w:ascii="Arial" w:hAnsi="Arial" w:cs="Arial"/>
          <w:i/>
          <w:spacing w:val="-3"/>
          <w:sz w:val="24"/>
        </w:rPr>
        <w:t>required</w:t>
      </w:r>
      <w:r w:rsidRPr="0060325A">
        <w:rPr>
          <w:rFonts w:ascii="Arial" w:hAnsi="Arial" w:cs="Arial"/>
          <w:i/>
          <w:spacing w:val="-8"/>
          <w:sz w:val="24"/>
        </w:rPr>
        <w:t xml:space="preserve"> </w:t>
      </w:r>
      <w:r w:rsidRPr="0060325A">
        <w:rPr>
          <w:rFonts w:ascii="Arial" w:hAnsi="Arial" w:cs="Arial"/>
          <w:i/>
          <w:sz w:val="24"/>
        </w:rPr>
        <w:t>to</w:t>
      </w:r>
      <w:r w:rsidRPr="0060325A">
        <w:rPr>
          <w:rFonts w:ascii="Arial" w:hAnsi="Arial" w:cs="Arial"/>
          <w:i/>
          <w:spacing w:val="-7"/>
          <w:sz w:val="24"/>
        </w:rPr>
        <w:t xml:space="preserve"> </w:t>
      </w:r>
      <w:r w:rsidRPr="0060325A">
        <w:rPr>
          <w:rFonts w:ascii="Arial" w:hAnsi="Arial" w:cs="Arial"/>
          <w:i/>
          <w:sz w:val="24"/>
        </w:rPr>
        <w:t xml:space="preserve">demonstrate that a promise to provide ‘cheap’ financing, in and of </w:t>
      </w:r>
      <w:r w:rsidRPr="0060325A">
        <w:rPr>
          <w:rFonts w:ascii="Arial" w:hAnsi="Arial" w:cs="Arial"/>
          <w:i/>
          <w:sz w:val="24"/>
        </w:rPr>
        <w:lastRenderedPageBreak/>
        <w:t>itself, confers a</w:t>
      </w:r>
      <w:r w:rsidRPr="0060325A">
        <w:rPr>
          <w:rFonts w:ascii="Arial" w:hAnsi="Arial" w:cs="Arial"/>
          <w:i/>
          <w:spacing w:val="-35"/>
          <w:sz w:val="24"/>
        </w:rPr>
        <w:t xml:space="preserve"> </w:t>
      </w:r>
      <w:r w:rsidRPr="0060325A">
        <w:rPr>
          <w:rFonts w:ascii="Arial" w:hAnsi="Arial" w:cs="Arial"/>
          <w:i/>
          <w:sz w:val="24"/>
        </w:rPr>
        <w:t>benefit.</w:t>
      </w:r>
      <w:r w:rsidRPr="00B30A18">
        <w:rPr>
          <w:rFonts w:ascii="Arial" w:hAnsi="Arial" w:cs="Arial"/>
          <w:i/>
          <w:sz w:val="24"/>
        </w:rPr>
        <w:t>”</w:t>
      </w:r>
      <w:r>
        <w:rPr>
          <w:rStyle w:val="ab"/>
          <w:rFonts w:ascii="Arial" w:hAnsi="Arial" w:cs="Arial"/>
          <w:i/>
          <w:sz w:val="24"/>
        </w:rPr>
        <w:footnoteReference w:id="34"/>
      </w:r>
    </w:p>
    <w:p w14:paraId="63248478" w14:textId="77777777" w:rsidR="00B30A18" w:rsidRDefault="00B30A18" w:rsidP="00B30A18">
      <w:pPr>
        <w:pStyle w:val="a9"/>
        <w:widowControl w:val="0"/>
        <w:tabs>
          <w:tab w:val="left" w:pos="917"/>
        </w:tabs>
        <w:autoSpaceDE w:val="0"/>
        <w:autoSpaceDN w:val="0"/>
        <w:spacing w:before="243"/>
        <w:ind w:left="644" w:right="95"/>
        <w:rPr>
          <w:rFonts w:ascii="Arial" w:hAnsi="Arial" w:cs="Arial"/>
          <w:sz w:val="24"/>
        </w:rPr>
      </w:pPr>
    </w:p>
    <w:p w14:paraId="3A2D1B1C" w14:textId="109FD421" w:rsidR="003627B4" w:rsidRPr="003627B4" w:rsidRDefault="00B30A18" w:rsidP="001F79D9">
      <w:pPr>
        <w:pStyle w:val="a7"/>
        <w:numPr>
          <w:ilvl w:val="0"/>
          <w:numId w:val="39"/>
        </w:numPr>
        <w:spacing w:before="100"/>
        <w:ind w:right="95" w:hanging="644"/>
        <w:rPr>
          <w:rFonts w:ascii="Arial" w:hAnsi="Arial" w:cs="Arial"/>
        </w:rPr>
      </w:pPr>
      <w:r w:rsidRPr="003627B4">
        <w:rPr>
          <w:rFonts w:ascii="Arial" w:hAnsi="Arial" w:cs="Arial"/>
          <w:sz w:val="24"/>
        </w:rPr>
        <w:t>Fourth, no evidence of specificity has been provided by the Applicant. Indeed, as already discussed in section 3.2 above, Excavator is not an encouraged industry, and none of the</w:t>
      </w:r>
      <w:r w:rsidRPr="003627B4">
        <w:rPr>
          <w:rFonts w:ascii="Arial" w:hAnsi="Arial" w:cs="Arial"/>
          <w:spacing w:val="-20"/>
          <w:sz w:val="24"/>
        </w:rPr>
        <w:t xml:space="preserve"> </w:t>
      </w:r>
      <w:r w:rsidRPr="003627B4">
        <w:rPr>
          <w:rFonts w:ascii="Arial" w:hAnsi="Arial" w:cs="Arial"/>
          <w:sz w:val="24"/>
        </w:rPr>
        <w:t>documents referred to by the Applicant in this regard show that the credit lines provided to the Excavator industry</w:t>
      </w:r>
      <w:r w:rsidRPr="003627B4">
        <w:rPr>
          <w:rFonts w:ascii="Arial" w:hAnsi="Arial" w:cs="Arial"/>
          <w:spacing w:val="-4"/>
          <w:sz w:val="24"/>
        </w:rPr>
        <w:t xml:space="preserve"> </w:t>
      </w:r>
      <w:r w:rsidRPr="003627B4">
        <w:rPr>
          <w:rFonts w:ascii="Arial" w:hAnsi="Arial" w:cs="Arial"/>
          <w:sz w:val="24"/>
        </w:rPr>
        <w:t>are</w:t>
      </w:r>
      <w:r w:rsidRPr="003627B4">
        <w:rPr>
          <w:rFonts w:ascii="Arial" w:hAnsi="Arial" w:cs="Arial"/>
          <w:spacing w:val="-3"/>
          <w:sz w:val="24"/>
        </w:rPr>
        <w:t xml:space="preserve"> </w:t>
      </w:r>
      <w:r w:rsidRPr="003627B4">
        <w:rPr>
          <w:rFonts w:ascii="Arial" w:hAnsi="Arial" w:cs="Arial"/>
          <w:sz w:val="24"/>
        </w:rPr>
        <w:t>specific</w:t>
      </w:r>
      <w:r w:rsidRPr="003627B4">
        <w:rPr>
          <w:rFonts w:ascii="Arial" w:hAnsi="Arial" w:cs="Arial"/>
          <w:spacing w:val="-1"/>
          <w:sz w:val="24"/>
        </w:rPr>
        <w:t xml:space="preserve"> </w:t>
      </w:r>
      <w:r w:rsidRPr="003627B4">
        <w:rPr>
          <w:rFonts w:ascii="Arial" w:hAnsi="Arial" w:cs="Arial"/>
          <w:sz w:val="24"/>
        </w:rPr>
        <w:t>within</w:t>
      </w:r>
      <w:r w:rsidRPr="003627B4">
        <w:rPr>
          <w:rFonts w:ascii="Arial" w:hAnsi="Arial" w:cs="Arial"/>
          <w:spacing w:val="-4"/>
          <w:sz w:val="24"/>
        </w:rPr>
        <w:t xml:space="preserve"> </w:t>
      </w:r>
      <w:r w:rsidRPr="003627B4">
        <w:rPr>
          <w:rFonts w:ascii="Arial" w:hAnsi="Arial" w:cs="Arial"/>
          <w:sz w:val="24"/>
        </w:rPr>
        <w:t>the</w:t>
      </w:r>
      <w:r w:rsidRPr="003627B4">
        <w:rPr>
          <w:rFonts w:ascii="Arial" w:hAnsi="Arial" w:cs="Arial"/>
          <w:spacing w:val="-3"/>
          <w:sz w:val="24"/>
        </w:rPr>
        <w:t xml:space="preserve"> </w:t>
      </w:r>
      <w:r w:rsidRPr="003627B4">
        <w:rPr>
          <w:rFonts w:ascii="Arial" w:hAnsi="Arial" w:cs="Arial"/>
          <w:sz w:val="24"/>
        </w:rPr>
        <w:t>meaning</w:t>
      </w:r>
      <w:r w:rsidRPr="003627B4">
        <w:rPr>
          <w:rFonts w:ascii="Arial" w:hAnsi="Arial" w:cs="Arial"/>
          <w:spacing w:val="-3"/>
          <w:sz w:val="24"/>
        </w:rPr>
        <w:t xml:space="preserve"> </w:t>
      </w:r>
      <w:r w:rsidRPr="003627B4">
        <w:rPr>
          <w:rFonts w:ascii="Arial" w:hAnsi="Arial" w:cs="Arial"/>
          <w:sz w:val="24"/>
        </w:rPr>
        <w:t>of</w:t>
      </w:r>
      <w:r w:rsidRPr="003627B4">
        <w:rPr>
          <w:rFonts w:ascii="Arial" w:hAnsi="Arial" w:cs="Arial"/>
          <w:spacing w:val="-17"/>
          <w:sz w:val="24"/>
        </w:rPr>
        <w:t xml:space="preserve"> </w:t>
      </w:r>
      <w:r w:rsidRPr="003627B4">
        <w:rPr>
          <w:rFonts w:ascii="Arial" w:hAnsi="Arial" w:cs="Arial"/>
          <w:sz w:val="24"/>
        </w:rPr>
        <w:t>Article 2</w:t>
      </w:r>
      <w:r w:rsidRPr="003627B4">
        <w:rPr>
          <w:rFonts w:ascii="Arial" w:hAnsi="Arial" w:cs="Arial"/>
          <w:spacing w:val="-4"/>
          <w:sz w:val="24"/>
        </w:rPr>
        <w:t xml:space="preserve"> </w:t>
      </w:r>
      <w:r w:rsidRPr="003627B4">
        <w:rPr>
          <w:rFonts w:ascii="Arial" w:hAnsi="Arial" w:cs="Arial"/>
          <w:sz w:val="24"/>
        </w:rPr>
        <w:t>of</w:t>
      </w:r>
      <w:r w:rsidRPr="003627B4">
        <w:rPr>
          <w:rFonts w:ascii="Arial" w:hAnsi="Arial" w:cs="Arial"/>
          <w:spacing w:val="-4"/>
          <w:sz w:val="24"/>
        </w:rPr>
        <w:t xml:space="preserve"> </w:t>
      </w:r>
      <w:r w:rsidRPr="003627B4">
        <w:rPr>
          <w:rFonts w:ascii="Arial" w:hAnsi="Arial" w:cs="Arial"/>
          <w:sz w:val="24"/>
        </w:rPr>
        <w:t>the</w:t>
      </w:r>
      <w:r w:rsidRPr="003627B4">
        <w:rPr>
          <w:rFonts w:ascii="Arial" w:hAnsi="Arial" w:cs="Arial"/>
          <w:spacing w:val="-2"/>
          <w:sz w:val="24"/>
        </w:rPr>
        <w:t xml:space="preserve"> </w:t>
      </w:r>
      <w:r w:rsidRPr="003627B4">
        <w:rPr>
          <w:rFonts w:ascii="Arial" w:hAnsi="Arial" w:cs="Arial"/>
          <w:sz w:val="24"/>
        </w:rPr>
        <w:t>SCM</w:t>
      </w:r>
      <w:r w:rsidRPr="003627B4">
        <w:rPr>
          <w:rFonts w:ascii="Arial" w:hAnsi="Arial" w:cs="Arial"/>
          <w:spacing w:val="-15"/>
          <w:sz w:val="24"/>
        </w:rPr>
        <w:t xml:space="preserve"> </w:t>
      </w:r>
      <w:r w:rsidRPr="003627B4">
        <w:rPr>
          <w:rFonts w:ascii="Arial" w:hAnsi="Arial" w:cs="Arial"/>
          <w:sz w:val="24"/>
        </w:rPr>
        <w:t>Agreement.</w:t>
      </w:r>
      <w:r w:rsidRPr="003627B4">
        <w:rPr>
          <w:rFonts w:ascii="Arial" w:hAnsi="Arial" w:cs="Arial"/>
          <w:spacing w:val="-6"/>
          <w:sz w:val="24"/>
        </w:rPr>
        <w:t xml:space="preserve"> </w:t>
      </w:r>
      <w:r w:rsidRPr="003627B4">
        <w:rPr>
          <w:rFonts w:ascii="Arial" w:hAnsi="Arial" w:cs="Arial"/>
          <w:spacing w:val="-9"/>
          <w:sz w:val="24"/>
        </w:rPr>
        <w:t>To</w:t>
      </w:r>
      <w:r w:rsidRPr="003627B4">
        <w:rPr>
          <w:rFonts w:ascii="Arial" w:hAnsi="Arial" w:cs="Arial"/>
          <w:spacing w:val="-4"/>
          <w:sz w:val="24"/>
        </w:rPr>
        <w:t xml:space="preserve"> </w:t>
      </w:r>
      <w:r w:rsidRPr="003627B4">
        <w:rPr>
          <w:rFonts w:ascii="Arial" w:hAnsi="Arial" w:cs="Arial"/>
          <w:sz w:val="24"/>
        </w:rPr>
        <w:t>recall,</w:t>
      </w:r>
      <w:r w:rsidRPr="003627B4">
        <w:rPr>
          <w:rFonts w:ascii="Arial" w:hAnsi="Arial" w:cs="Arial"/>
          <w:spacing w:val="-2"/>
          <w:sz w:val="24"/>
        </w:rPr>
        <w:t xml:space="preserve"> </w:t>
      </w:r>
      <w:r w:rsidRPr="003627B4">
        <w:rPr>
          <w:rFonts w:ascii="Arial" w:hAnsi="Arial" w:cs="Arial"/>
          <w:sz w:val="24"/>
        </w:rPr>
        <w:t>general</w:t>
      </w:r>
      <w:bookmarkEnd w:id="22"/>
      <w:r w:rsidRPr="003627B4">
        <w:rPr>
          <w:rFonts w:ascii="Arial" w:hAnsi="Arial" w:cs="Arial"/>
          <w:sz w:val="24"/>
        </w:rPr>
        <w:t xml:space="preserve"> </w:t>
      </w:r>
      <w:bookmarkStart w:id="25" w:name="_Hlk161121431"/>
      <w:r w:rsidR="003627B4" w:rsidRPr="003627B4">
        <w:rPr>
          <w:rFonts w:ascii="Arial" w:hAnsi="Arial" w:cs="Arial"/>
          <w:sz w:val="24"/>
          <w:szCs w:val="24"/>
        </w:rPr>
        <w:t>information</w:t>
      </w:r>
      <w:r w:rsidR="003627B4" w:rsidRPr="003627B4">
        <w:rPr>
          <w:rFonts w:ascii="Arial" w:hAnsi="Arial" w:cs="Arial"/>
          <w:spacing w:val="-10"/>
          <w:sz w:val="24"/>
          <w:szCs w:val="24"/>
        </w:rPr>
        <w:t xml:space="preserve"> </w:t>
      </w:r>
      <w:r w:rsidR="003627B4" w:rsidRPr="003627B4">
        <w:rPr>
          <w:rFonts w:ascii="Arial" w:hAnsi="Arial" w:cs="Arial"/>
          <w:sz w:val="24"/>
          <w:szCs w:val="24"/>
        </w:rPr>
        <w:t>about</w:t>
      </w:r>
      <w:r w:rsidR="003627B4" w:rsidRPr="003627B4">
        <w:rPr>
          <w:rFonts w:ascii="Arial" w:hAnsi="Arial" w:cs="Arial"/>
          <w:spacing w:val="-10"/>
          <w:sz w:val="24"/>
          <w:szCs w:val="24"/>
        </w:rPr>
        <w:t xml:space="preserve"> </w:t>
      </w:r>
      <w:r w:rsidR="003627B4" w:rsidRPr="003627B4">
        <w:rPr>
          <w:rFonts w:ascii="Arial" w:hAnsi="Arial" w:cs="Arial"/>
          <w:sz w:val="24"/>
          <w:szCs w:val="24"/>
        </w:rPr>
        <w:t>government</w:t>
      </w:r>
      <w:r w:rsidR="003627B4" w:rsidRPr="003627B4">
        <w:rPr>
          <w:rFonts w:ascii="Arial" w:hAnsi="Arial" w:cs="Arial"/>
          <w:spacing w:val="-10"/>
          <w:sz w:val="24"/>
          <w:szCs w:val="24"/>
        </w:rPr>
        <w:t xml:space="preserve"> </w:t>
      </w:r>
      <w:r w:rsidR="003627B4" w:rsidRPr="003627B4">
        <w:rPr>
          <w:rFonts w:ascii="Arial" w:hAnsi="Arial" w:cs="Arial"/>
          <w:spacing w:val="-3"/>
          <w:sz w:val="24"/>
          <w:szCs w:val="24"/>
        </w:rPr>
        <w:t>policy,</w:t>
      </w:r>
      <w:r w:rsidR="003627B4" w:rsidRPr="003627B4">
        <w:rPr>
          <w:rFonts w:ascii="Arial" w:hAnsi="Arial" w:cs="Arial"/>
          <w:spacing w:val="-10"/>
          <w:sz w:val="24"/>
          <w:szCs w:val="24"/>
        </w:rPr>
        <w:t xml:space="preserve"> </w:t>
      </w:r>
      <w:r w:rsidR="003627B4" w:rsidRPr="003627B4">
        <w:rPr>
          <w:rFonts w:ascii="Arial" w:hAnsi="Arial" w:cs="Arial"/>
          <w:sz w:val="24"/>
          <w:szCs w:val="24"/>
        </w:rPr>
        <w:t>with</w:t>
      </w:r>
      <w:r w:rsidR="003627B4" w:rsidRPr="003627B4">
        <w:rPr>
          <w:rFonts w:ascii="Arial" w:hAnsi="Arial" w:cs="Arial"/>
          <w:spacing w:val="-10"/>
          <w:sz w:val="24"/>
          <w:szCs w:val="24"/>
        </w:rPr>
        <w:t xml:space="preserve"> </w:t>
      </w:r>
      <w:r w:rsidR="003627B4" w:rsidRPr="003627B4">
        <w:rPr>
          <w:rFonts w:ascii="Arial" w:hAnsi="Arial" w:cs="Arial"/>
          <w:sz w:val="24"/>
          <w:szCs w:val="24"/>
        </w:rPr>
        <w:t>no</w:t>
      </w:r>
      <w:r w:rsidR="003627B4" w:rsidRPr="003627B4">
        <w:rPr>
          <w:rFonts w:ascii="Arial" w:hAnsi="Arial" w:cs="Arial"/>
          <w:spacing w:val="-10"/>
          <w:sz w:val="24"/>
          <w:szCs w:val="24"/>
        </w:rPr>
        <w:t xml:space="preserve"> </w:t>
      </w:r>
      <w:r w:rsidR="003627B4" w:rsidRPr="003627B4">
        <w:rPr>
          <w:rFonts w:ascii="Arial" w:hAnsi="Arial" w:cs="Arial"/>
          <w:sz w:val="24"/>
          <w:szCs w:val="24"/>
        </w:rPr>
        <w:t>direct</w:t>
      </w:r>
      <w:r w:rsidR="003627B4" w:rsidRPr="003627B4">
        <w:rPr>
          <w:rFonts w:ascii="Arial" w:hAnsi="Arial" w:cs="Arial"/>
          <w:spacing w:val="-10"/>
          <w:sz w:val="24"/>
          <w:szCs w:val="24"/>
        </w:rPr>
        <w:t xml:space="preserve"> </w:t>
      </w:r>
      <w:r w:rsidR="003627B4" w:rsidRPr="003627B4">
        <w:rPr>
          <w:rFonts w:ascii="Arial" w:hAnsi="Arial" w:cs="Arial"/>
          <w:sz w:val="24"/>
          <w:szCs w:val="24"/>
        </w:rPr>
        <w:t>connection</w:t>
      </w:r>
      <w:r w:rsidR="003627B4" w:rsidRPr="003627B4">
        <w:rPr>
          <w:rFonts w:ascii="Arial" w:hAnsi="Arial" w:cs="Arial"/>
          <w:spacing w:val="-10"/>
          <w:sz w:val="24"/>
          <w:szCs w:val="24"/>
        </w:rPr>
        <w:t xml:space="preserve"> </w:t>
      </w:r>
      <w:r w:rsidR="003627B4" w:rsidRPr="003627B4">
        <w:rPr>
          <w:rFonts w:ascii="Arial" w:hAnsi="Arial" w:cs="Arial"/>
          <w:sz w:val="24"/>
          <w:szCs w:val="24"/>
        </w:rPr>
        <w:t>to</w:t>
      </w:r>
      <w:r w:rsidR="003627B4" w:rsidRPr="003627B4">
        <w:rPr>
          <w:rFonts w:ascii="Arial" w:hAnsi="Arial" w:cs="Arial"/>
          <w:spacing w:val="-10"/>
          <w:sz w:val="24"/>
          <w:szCs w:val="24"/>
        </w:rPr>
        <w:t xml:space="preserve"> </w:t>
      </w:r>
      <w:r w:rsidR="003627B4" w:rsidRPr="003627B4">
        <w:rPr>
          <w:rFonts w:ascii="Arial" w:hAnsi="Arial" w:cs="Arial"/>
          <w:sz w:val="24"/>
          <w:szCs w:val="24"/>
        </w:rPr>
        <w:t>the</w:t>
      </w:r>
      <w:r w:rsidR="003627B4" w:rsidRPr="003627B4">
        <w:rPr>
          <w:rFonts w:ascii="Arial" w:hAnsi="Arial" w:cs="Arial"/>
          <w:spacing w:val="-8"/>
          <w:sz w:val="24"/>
          <w:szCs w:val="24"/>
        </w:rPr>
        <w:t xml:space="preserve"> </w:t>
      </w:r>
      <w:r w:rsidR="003627B4" w:rsidRPr="003627B4">
        <w:rPr>
          <w:rFonts w:ascii="Arial" w:hAnsi="Arial" w:cs="Arial"/>
          <w:sz w:val="24"/>
          <w:szCs w:val="24"/>
        </w:rPr>
        <w:t>programs</w:t>
      </w:r>
      <w:r w:rsidR="003627B4" w:rsidRPr="003627B4">
        <w:rPr>
          <w:rFonts w:ascii="Arial" w:hAnsi="Arial" w:cs="Arial"/>
          <w:spacing w:val="-9"/>
          <w:sz w:val="24"/>
          <w:szCs w:val="24"/>
        </w:rPr>
        <w:t xml:space="preserve"> </w:t>
      </w:r>
      <w:r w:rsidR="003627B4" w:rsidRPr="003627B4">
        <w:rPr>
          <w:rFonts w:ascii="Arial" w:hAnsi="Arial" w:cs="Arial"/>
          <w:sz w:val="24"/>
          <w:szCs w:val="24"/>
        </w:rPr>
        <w:t>at</w:t>
      </w:r>
      <w:r w:rsidR="003627B4" w:rsidRPr="003627B4">
        <w:rPr>
          <w:rFonts w:ascii="Arial" w:hAnsi="Arial" w:cs="Arial"/>
          <w:spacing w:val="-10"/>
          <w:sz w:val="24"/>
          <w:szCs w:val="24"/>
        </w:rPr>
        <w:t xml:space="preserve"> </w:t>
      </w:r>
      <w:r w:rsidR="003627B4" w:rsidRPr="003627B4">
        <w:rPr>
          <w:rFonts w:ascii="Arial" w:hAnsi="Arial" w:cs="Arial"/>
          <w:sz w:val="24"/>
          <w:szCs w:val="24"/>
        </w:rPr>
        <w:t>issue</w:t>
      </w:r>
      <w:r w:rsidR="003627B4" w:rsidRPr="003627B4">
        <w:rPr>
          <w:rFonts w:ascii="Arial" w:hAnsi="Arial" w:cs="Arial"/>
          <w:spacing w:val="-9"/>
          <w:sz w:val="24"/>
          <w:szCs w:val="24"/>
        </w:rPr>
        <w:t xml:space="preserve"> </w:t>
      </w:r>
      <w:r w:rsidR="003627B4" w:rsidRPr="003627B4">
        <w:rPr>
          <w:rFonts w:ascii="Arial" w:hAnsi="Arial" w:cs="Arial"/>
          <w:sz w:val="24"/>
          <w:szCs w:val="24"/>
        </w:rPr>
        <w:t>cannot constitute sufficient evidence of specificity.</w:t>
      </w:r>
      <w:r w:rsidR="003627B4" w:rsidRPr="003627B4">
        <w:rPr>
          <w:rFonts w:ascii="Arial" w:hAnsi="Arial" w:cs="Arial"/>
          <w:spacing w:val="-21"/>
        </w:rPr>
        <w:t xml:space="preserve"> </w:t>
      </w:r>
      <w:r w:rsidR="003627B4">
        <w:rPr>
          <w:rStyle w:val="ab"/>
          <w:rFonts w:ascii="Arial" w:hAnsi="Arial" w:cs="Arial"/>
          <w:spacing w:val="-21"/>
        </w:rPr>
        <w:footnoteReference w:id="35"/>
      </w:r>
    </w:p>
    <w:p w14:paraId="6F75DE61" w14:textId="0FC12189" w:rsidR="003627B4" w:rsidRPr="003627B4" w:rsidRDefault="003627B4" w:rsidP="001F79D9">
      <w:pPr>
        <w:pStyle w:val="a9"/>
        <w:widowControl w:val="0"/>
        <w:numPr>
          <w:ilvl w:val="0"/>
          <w:numId w:val="39"/>
        </w:numPr>
        <w:tabs>
          <w:tab w:val="left" w:pos="917"/>
        </w:tabs>
        <w:autoSpaceDE w:val="0"/>
        <w:autoSpaceDN w:val="0"/>
        <w:spacing w:before="240"/>
        <w:ind w:right="95" w:hanging="644"/>
        <w:contextualSpacing w:val="0"/>
        <w:rPr>
          <w:rFonts w:ascii="Arial" w:hAnsi="Arial" w:cs="Arial"/>
          <w:sz w:val="24"/>
        </w:rPr>
      </w:pPr>
      <w:r w:rsidRPr="003627B4">
        <w:rPr>
          <w:rFonts w:ascii="Arial" w:hAnsi="Arial" w:cs="Arial"/>
          <w:sz w:val="24"/>
        </w:rPr>
        <w:t xml:space="preserve">Moreover, the fact is that there is no preferential policy and access to the credit lines is not </w:t>
      </w:r>
      <w:r w:rsidRPr="003627B4">
        <w:rPr>
          <w:rFonts w:ascii="Arial" w:hAnsi="Arial" w:cs="Arial"/>
          <w:i/>
          <w:sz w:val="24"/>
        </w:rPr>
        <w:t xml:space="preserve">explicitly limited </w:t>
      </w:r>
      <w:r w:rsidRPr="003627B4">
        <w:rPr>
          <w:rFonts w:ascii="Arial" w:hAnsi="Arial" w:cs="Arial"/>
          <w:sz w:val="24"/>
        </w:rPr>
        <w:t xml:space="preserve">to the </w:t>
      </w:r>
      <w:r>
        <w:rPr>
          <w:rFonts w:ascii="Arial" w:hAnsi="Arial" w:cs="Arial" w:hint="eastAsia"/>
          <w:sz w:val="24"/>
        </w:rPr>
        <w:t>Excavator</w:t>
      </w:r>
      <w:r w:rsidRPr="003627B4">
        <w:rPr>
          <w:rFonts w:ascii="Arial" w:hAnsi="Arial" w:cs="Arial"/>
          <w:sz w:val="24"/>
        </w:rPr>
        <w:t xml:space="preserve"> industry. The GOC underlines that all enterprises in China, regardless of industry type, are equally eligible for obtaining credit lines and this is no more than a borrowing limit for</w:t>
      </w:r>
      <w:r w:rsidRPr="003627B4">
        <w:rPr>
          <w:rFonts w:ascii="Arial" w:hAnsi="Arial" w:cs="Arial"/>
          <w:spacing w:val="-4"/>
          <w:sz w:val="24"/>
        </w:rPr>
        <w:t xml:space="preserve"> </w:t>
      </w:r>
      <w:r w:rsidRPr="003627B4">
        <w:rPr>
          <w:rFonts w:ascii="Arial" w:hAnsi="Arial" w:cs="Arial"/>
          <w:sz w:val="24"/>
        </w:rPr>
        <w:t>companies.</w:t>
      </w:r>
    </w:p>
    <w:p w14:paraId="17E12DF2" w14:textId="77777777" w:rsidR="003627B4" w:rsidRPr="003627B4" w:rsidRDefault="003627B4" w:rsidP="003627B4">
      <w:pPr>
        <w:pStyle w:val="a7"/>
        <w:spacing w:before="10"/>
        <w:ind w:leftChars="-1" w:left="-2" w:right="95" w:firstLine="1"/>
        <w:rPr>
          <w:rFonts w:ascii="Arial" w:hAnsi="Arial" w:cs="Arial"/>
          <w:sz w:val="20"/>
        </w:rPr>
      </w:pPr>
    </w:p>
    <w:p w14:paraId="2FBC63A3" w14:textId="34AC5663" w:rsidR="003F0A0B" w:rsidRDefault="003627B4" w:rsidP="001F79D9">
      <w:pPr>
        <w:pStyle w:val="a9"/>
        <w:widowControl w:val="0"/>
        <w:numPr>
          <w:ilvl w:val="0"/>
          <w:numId w:val="39"/>
        </w:numPr>
        <w:tabs>
          <w:tab w:val="left" w:pos="917"/>
        </w:tabs>
        <w:autoSpaceDE w:val="0"/>
        <w:autoSpaceDN w:val="0"/>
        <w:spacing w:before="240"/>
        <w:ind w:right="95" w:hanging="644"/>
        <w:contextualSpacing w:val="0"/>
        <w:rPr>
          <w:rFonts w:ascii="Arial" w:hAnsi="Arial" w:cs="Arial"/>
          <w:sz w:val="24"/>
        </w:rPr>
      </w:pPr>
      <w:r w:rsidRPr="003627B4">
        <w:rPr>
          <w:rFonts w:ascii="Arial" w:hAnsi="Arial" w:cs="Arial"/>
          <w:sz w:val="24"/>
        </w:rPr>
        <w:t>Thus, the Application lacks evidence of the existence of subsidies in the form of preferential financing through credit lines and, as such, the initiation and continuation of the present investigation – as far as credit lines are concerned – is unjustified and WTO-inconsistent.</w:t>
      </w:r>
      <w:bookmarkEnd w:id="25"/>
    </w:p>
    <w:p w14:paraId="1B37948C" w14:textId="77777777" w:rsidR="003627B4" w:rsidRPr="003627B4" w:rsidRDefault="003627B4" w:rsidP="003627B4">
      <w:pPr>
        <w:widowControl w:val="0"/>
        <w:tabs>
          <w:tab w:val="left" w:pos="917"/>
        </w:tabs>
        <w:autoSpaceDE w:val="0"/>
        <w:autoSpaceDN w:val="0"/>
        <w:spacing w:before="240"/>
        <w:ind w:right="95"/>
        <w:rPr>
          <w:rFonts w:ascii="Arial" w:hAnsi="Arial" w:cs="Arial"/>
          <w:sz w:val="24"/>
        </w:rPr>
      </w:pPr>
    </w:p>
    <w:p w14:paraId="462FA754" w14:textId="47552343" w:rsidR="003627B4" w:rsidRPr="00131C50" w:rsidRDefault="003627B4" w:rsidP="003627B4">
      <w:pPr>
        <w:pStyle w:val="3"/>
        <w:spacing w:before="0"/>
        <w:rPr>
          <w:rFonts w:ascii="Arial" w:eastAsia="Times New Roman" w:hAnsi="Arial" w:cs="Arial"/>
          <w:b/>
          <w:bCs/>
          <w:color w:val="auto"/>
          <w:lang w:eastAsia="en-US"/>
        </w:rPr>
      </w:pPr>
      <w:bookmarkStart w:id="27" w:name="_Toc161355128"/>
      <w:r w:rsidRPr="003627B4">
        <w:rPr>
          <w:rFonts w:ascii="Arial" w:eastAsia="Times New Roman" w:hAnsi="Arial" w:cs="Arial"/>
          <w:b/>
          <w:bCs/>
          <w:color w:val="auto"/>
          <w:lang w:eastAsia="en-US"/>
        </w:rPr>
        <w:t>Preferential financing through corporate bonds and convertible corporate bonds</w:t>
      </w:r>
      <w:bookmarkEnd w:id="27"/>
    </w:p>
    <w:p w14:paraId="6FDD3960" w14:textId="77777777" w:rsidR="00B30A18" w:rsidRDefault="00B30A18" w:rsidP="003627B4">
      <w:pPr>
        <w:ind w:right="95"/>
        <w:rPr>
          <w:rFonts w:ascii="Arial" w:hAnsi="Arial" w:cs="Arial"/>
        </w:rPr>
      </w:pPr>
    </w:p>
    <w:p w14:paraId="2A179DDF" w14:textId="76B7E58D" w:rsidR="00354C68" w:rsidRPr="00354C68" w:rsidRDefault="00354C68" w:rsidP="001F79D9">
      <w:pPr>
        <w:pStyle w:val="a9"/>
        <w:widowControl w:val="0"/>
        <w:numPr>
          <w:ilvl w:val="0"/>
          <w:numId w:val="39"/>
        </w:numPr>
        <w:tabs>
          <w:tab w:val="left" w:pos="917"/>
        </w:tabs>
        <w:autoSpaceDE w:val="0"/>
        <w:autoSpaceDN w:val="0"/>
        <w:spacing w:before="240"/>
        <w:ind w:right="95" w:hanging="644"/>
        <w:contextualSpacing w:val="0"/>
        <w:rPr>
          <w:rFonts w:ascii="Arial" w:hAnsi="Arial" w:cs="Arial"/>
          <w:sz w:val="24"/>
        </w:rPr>
      </w:pPr>
      <w:bookmarkStart w:id="28" w:name="_Hlk161122418"/>
      <w:r w:rsidRPr="00354C68">
        <w:rPr>
          <w:rFonts w:ascii="Arial" w:hAnsi="Arial" w:cs="Arial"/>
          <w:sz w:val="24"/>
        </w:rPr>
        <w:t xml:space="preserve">According to the Applicant, corporate bonds (“CBs”) and convertible corporate bonds (“CCBs”) issued by Chinese </w:t>
      </w:r>
      <w:r w:rsidR="00A267E9">
        <w:rPr>
          <w:rFonts w:ascii="Arial" w:hAnsi="Arial" w:cs="Arial" w:hint="eastAsia"/>
          <w:sz w:val="24"/>
        </w:rPr>
        <w:t>E</w:t>
      </w:r>
      <w:r w:rsidR="00F14CD2">
        <w:rPr>
          <w:rFonts w:ascii="Arial" w:hAnsi="Arial" w:cs="Arial" w:hint="eastAsia"/>
          <w:sz w:val="24"/>
        </w:rPr>
        <w:t>x</w:t>
      </w:r>
      <w:r w:rsidR="00A267E9">
        <w:rPr>
          <w:rFonts w:ascii="Arial" w:hAnsi="Arial" w:cs="Arial" w:hint="eastAsia"/>
          <w:sz w:val="24"/>
        </w:rPr>
        <w:t>cavator</w:t>
      </w:r>
      <w:r w:rsidRPr="00354C68">
        <w:rPr>
          <w:rFonts w:ascii="Arial" w:hAnsi="Arial" w:cs="Arial"/>
          <w:sz w:val="24"/>
        </w:rPr>
        <w:t xml:space="preserve"> producers constitute countervailable subsidies.</w:t>
      </w:r>
      <w:r>
        <w:rPr>
          <w:rStyle w:val="ab"/>
          <w:rFonts w:ascii="Arial" w:hAnsi="Arial" w:cs="Arial"/>
          <w:sz w:val="24"/>
        </w:rPr>
        <w:footnoteReference w:id="36"/>
      </w:r>
      <w:r w:rsidRPr="00354C68">
        <w:rPr>
          <w:rFonts w:ascii="Arial" w:hAnsi="Arial" w:cs="Arial"/>
          <w:sz w:val="24"/>
        </w:rPr>
        <w:t xml:space="preserve"> The GOC disagrees for the following reasons.</w:t>
      </w:r>
      <w:bookmarkEnd w:id="28"/>
    </w:p>
    <w:p w14:paraId="67104DA0" w14:textId="77777777" w:rsidR="00354C68" w:rsidRPr="00354C68" w:rsidRDefault="00354C68" w:rsidP="00354C68">
      <w:pPr>
        <w:pStyle w:val="a7"/>
        <w:ind w:right="95"/>
        <w:rPr>
          <w:rFonts w:ascii="Arial" w:hAnsi="Arial" w:cs="Arial"/>
          <w:sz w:val="21"/>
        </w:rPr>
      </w:pPr>
    </w:p>
    <w:p w14:paraId="777ED641" w14:textId="1D1382D9" w:rsidR="00354C68" w:rsidRPr="00354C68" w:rsidRDefault="00354C68" w:rsidP="001F79D9">
      <w:pPr>
        <w:pStyle w:val="a9"/>
        <w:widowControl w:val="0"/>
        <w:numPr>
          <w:ilvl w:val="0"/>
          <w:numId w:val="39"/>
        </w:numPr>
        <w:tabs>
          <w:tab w:val="left" w:pos="917"/>
        </w:tabs>
        <w:autoSpaceDE w:val="0"/>
        <w:autoSpaceDN w:val="0"/>
        <w:spacing w:before="240"/>
        <w:ind w:right="95" w:hanging="644"/>
        <w:contextualSpacing w:val="0"/>
        <w:rPr>
          <w:rFonts w:ascii="Arial" w:hAnsi="Arial" w:cs="Arial"/>
          <w:sz w:val="24"/>
        </w:rPr>
      </w:pPr>
      <w:bookmarkStart w:id="30" w:name="_Hlk161122645"/>
      <w:r w:rsidRPr="00354C68">
        <w:rPr>
          <w:rFonts w:ascii="Arial" w:hAnsi="Arial" w:cs="Arial"/>
          <w:sz w:val="24"/>
        </w:rPr>
        <w:lastRenderedPageBreak/>
        <w:t xml:space="preserve">First, and foremost, the nature of the financial contribution in question has not been specified by the Applicant. As held by the Appellate Body in </w:t>
      </w:r>
      <w:r w:rsidRPr="00354C68">
        <w:rPr>
          <w:rFonts w:ascii="Arial" w:hAnsi="Arial" w:cs="Arial"/>
          <w:i/>
          <w:iCs/>
          <w:sz w:val="24"/>
        </w:rPr>
        <w:t>US – CVD</w:t>
      </w:r>
      <w:r w:rsidRPr="00354C68">
        <w:rPr>
          <w:rFonts w:ascii="Arial" w:hAnsi="Arial" w:cs="Arial"/>
          <w:sz w:val="24"/>
        </w:rPr>
        <w:t>, at the first step, in determining whether a financial contribution exists, “</w:t>
      </w:r>
      <w:r w:rsidRPr="00354C68">
        <w:rPr>
          <w:rFonts w:ascii="Arial" w:hAnsi="Arial" w:cs="Arial"/>
          <w:i/>
          <w:iCs/>
          <w:sz w:val="24"/>
        </w:rPr>
        <w:t>an investigating authority must inquire into the nature of the financial contribution at issue and determine whether such contribution was provided by the ‘government’, by ‘any public body within the territory of a Member’, or by a ‘private body’ entrusted or directed by the government.</w:t>
      </w:r>
      <w:r w:rsidRPr="00354C68">
        <w:rPr>
          <w:rFonts w:ascii="Arial" w:hAnsi="Arial" w:cs="Arial"/>
          <w:sz w:val="24"/>
        </w:rPr>
        <w:t>”</w:t>
      </w:r>
      <w:r>
        <w:rPr>
          <w:rStyle w:val="ab"/>
          <w:rFonts w:ascii="Arial" w:hAnsi="Arial" w:cs="Arial"/>
          <w:sz w:val="24"/>
        </w:rPr>
        <w:footnoteReference w:id="37"/>
      </w:r>
      <w:r w:rsidRPr="00354C68">
        <w:rPr>
          <w:rFonts w:ascii="Arial" w:hAnsi="Arial" w:cs="Arial"/>
          <w:sz w:val="24"/>
        </w:rPr>
        <w:t xml:space="preserve"> According to the Appellate Body, the assessment of the nature of the financial contribution informs the identification of the jurisdiction of the granting authority, which is then the starting point for the specificity analysis.</w:t>
      </w:r>
    </w:p>
    <w:p w14:paraId="57EE615D" w14:textId="77777777" w:rsidR="00354C68" w:rsidRPr="00354C68" w:rsidRDefault="00354C68" w:rsidP="00354C68">
      <w:pPr>
        <w:pStyle w:val="a7"/>
        <w:spacing w:before="11"/>
        <w:ind w:right="95"/>
        <w:rPr>
          <w:rFonts w:ascii="Arial" w:hAnsi="Arial" w:cs="Arial"/>
          <w:sz w:val="20"/>
        </w:rPr>
      </w:pPr>
    </w:p>
    <w:p w14:paraId="55A1F7B8" w14:textId="4C9692B1" w:rsidR="003627B4" w:rsidRDefault="00354C68" w:rsidP="001F79D9">
      <w:pPr>
        <w:pStyle w:val="a9"/>
        <w:widowControl w:val="0"/>
        <w:numPr>
          <w:ilvl w:val="0"/>
          <w:numId w:val="39"/>
        </w:numPr>
        <w:tabs>
          <w:tab w:val="left" w:pos="917"/>
        </w:tabs>
        <w:autoSpaceDE w:val="0"/>
        <w:autoSpaceDN w:val="0"/>
        <w:spacing w:before="240"/>
        <w:ind w:right="95" w:hanging="644"/>
        <w:contextualSpacing w:val="0"/>
        <w:rPr>
          <w:rFonts w:ascii="Arial" w:hAnsi="Arial" w:cs="Arial"/>
          <w:sz w:val="24"/>
        </w:rPr>
      </w:pPr>
      <w:r w:rsidRPr="00354C68">
        <w:rPr>
          <w:rFonts w:ascii="Arial" w:hAnsi="Arial" w:cs="Arial"/>
          <w:sz w:val="24"/>
        </w:rPr>
        <w:t>The Applicant has, however, failed to provide the precise content of the alleged financial contribution claimed. Indeed, the Applicant has not demonstrated how the alleged subsidy programme actually operates. A general discussion of the purpose of CBs and CCBs and how they are issued in China is insufficient.</w:t>
      </w:r>
      <w:bookmarkEnd w:id="30"/>
    </w:p>
    <w:p w14:paraId="3FDBB587" w14:textId="77777777" w:rsidR="00E7126F" w:rsidRPr="00E7126F" w:rsidRDefault="00E7126F" w:rsidP="00E7126F">
      <w:pPr>
        <w:pStyle w:val="a9"/>
        <w:rPr>
          <w:rFonts w:ascii="Arial" w:hAnsi="Arial" w:cs="Arial"/>
          <w:sz w:val="24"/>
        </w:rPr>
      </w:pPr>
    </w:p>
    <w:p w14:paraId="049447CD" w14:textId="5C7604FA" w:rsidR="00E7126F" w:rsidRPr="00E7126F" w:rsidRDefault="00E7126F" w:rsidP="001F79D9">
      <w:pPr>
        <w:pStyle w:val="a9"/>
        <w:widowControl w:val="0"/>
        <w:numPr>
          <w:ilvl w:val="0"/>
          <w:numId w:val="39"/>
        </w:numPr>
        <w:tabs>
          <w:tab w:val="left" w:pos="917"/>
        </w:tabs>
        <w:autoSpaceDE w:val="0"/>
        <w:autoSpaceDN w:val="0"/>
        <w:spacing w:before="100"/>
        <w:ind w:right="95" w:hanging="644"/>
        <w:contextualSpacing w:val="0"/>
        <w:rPr>
          <w:rFonts w:ascii="Arial" w:hAnsi="Arial" w:cs="Arial"/>
          <w:sz w:val="24"/>
        </w:rPr>
      </w:pPr>
      <w:bookmarkStart w:id="32" w:name="_Hlk161122793"/>
      <w:r w:rsidRPr="00E7126F">
        <w:rPr>
          <w:rFonts w:ascii="Arial" w:hAnsi="Arial" w:cs="Arial"/>
          <w:sz w:val="24"/>
        </w:rPr>
        <w:t>Furthermore, the Applicant only speculated that, “</w:t>
      </w:r>
      <w:r w:rsidRPr="00E7126F">
        <w:rPr>
          <w:rFonts w:ascii="Arial" w:hAnsi="Arial" w:cs="Arial"/>
          <w:i/>
          <w:sz w:val="24"/>
          <w:u w:val="single"/>
        </w:rPr>
        <w:t>the PRC bonds market is highly distorted by GOC intervention</w:t>
      </w:r>
      <w:r w:rsidRPr="00E7126F">
        <w:rPr>
          <w:rFonts w:ascii="Arial" w:hAnsi="Arial" w:cs="Arial"/>
          <w:sz w:val="24"/>
        </w:rPr>
        <w:t>”.</w:t>
      </w:r>
      <w:r>
        <w:rPr>
          <w:rStyle w:val="ab"/>
          <w:rFonts w:ascii="Arial" w:hAnsi="Arial" w:cs="Arial"/>
          <w:sz w:val="24"/>
        </w:rPr>
        <w:footnoteReference w:id="38"/>
      </w:r>
      <w:r w:rsidRPr="00E7126F">
        <w:rPr>
          <w:rFonts w:ascii="Arial" w:hAnsi="Arial" w:cs="Arial"/>
          <w:sz w:val="24"/>
        </w:rPr>
        <w:t xml:space="preserve"> It then took the trouble to indicate to the TRA how the benefit should</w:t>
      </w:r>
      <w:r w:rsidRPr="00E7126F">
        <w:rPr>
          <w:rFonts w:ascii="Arial" w:hAnsi="Arial" w:cs="Arial"/>
          <w:spacing w:val="-14"/>
          <w:sz w:val="24"/>
        </w:rPr>
        <w:t xml:space="preserve"> </w:t>
      </w:r>
      <w:r w:rsidRPr="00E7126F">
        <w:rPr>
          <w:rFonts w:ascii="Arial" w:hAnsi="Arial" w:cs="Arial"/>
          <w:sz w:val="24"/>
        </w:rPr>
        <w:t>be</w:t>
      </w:r>
      <w:r w:rsidRPr="00E7126F">
        <w:rPr>
          <w:rFonts w:ascii="Arial" w:hAnsi="Arial" w:cs="Arial"/>
          <w:spacing w:val="-14"/>
          <w:sz w:val="24"/>
        </w:rPr>
        <w:t xml:space="preserve"> </w:t>
      </w:r>
      <w:r w:rsidRPr="00E7126F">
        <w:rPr>
          <w:rFonts w:ascii="Arial" w:hAnsi="Arial" w:cs="Arial"/>
          <w:sz w:val="24"/>
        </w:rPr>
        <w:t>calculated</w:t>
      </w:r>
      <w:r w:rsidRPr="00E7126F">
        <w:rPr>
          <w:rFonts w:ascii="Arial" w:hAnsi="Arial" w:cs="Arial"/>
          <w:spacing w:val="-14"/>
          <w:sz w:val="24"/>
        </w:rPr>
        <w:t xml:space="preserve"> </w:t>
      </w:r>
      <w:r w:rsidRPr="00E7126F">
        <w:rPr>
          <w:rFonts w:ascii="Arial" w:hAnsi="Arial" w:cs="Arial"/>
          <w:sz w:val="24"/>
        </w:rPr>
        <w:t>for</w:t>
      </w:r>
      <w:r w:rsidRPr="00E7126F">
        <w:rPr>
          <w:rFonts w:ascii="Arial" w:hAnsi="Arial" w:cs="Arial"/>
          <w:spacing w:val="-13"/>
          <w:sz w:val="24"/>
        </w:rPr>
        <w:t xml:space="preserve"> </w:t>
      </w:r>
      <w:r w:rsidRPr="00E7126F">
        <w:rPr>
          <w:rFonts w:ascii="Arial" w:hAnsi="Arial" w:cs="Arial"/>
          <w:sz w:val="24"/>
        </w:rPr>
        <w:t>an</w:t>
      </w:r>
      <w:r w:rsidRPr="00E7126F">
        <w:rPr>
          <w:rFonts w:ascii="Arial" w:hAnsi="Arial" w:cs="Arial"/>
          <w:spacing w:val="-14"/>
          <w:sz w:val="24"/>
        </w:rPr>
        <w:t xml:space="preserve"> </w:t>
      </w:r>
      <w:r w:rsidRPr="00E7126F">
        <w:rPr>
          <w:rFonts w:ascii="Arial" w:hAnsi="Arial" w:cs="Arial"/>
          <w:sz w:val="24"/>
        </w:rPr>
        <w:t>inexistent</w:t>
      </w:r>
      <w:r w:rsidRPr="00E7126F">
        <w:rPr>
          <w:rFonts w:ascii="Arial" w:hAnsi="Arial" w:cs="Arial"/>
          <w:spacing w:val="-13"/>
          <w:sz w:val="24"/>
        </w:rPr>
        <w:t xml:space="preserve"> </w:t>
      </w:r>
      <w:r w:rsidRPr="00E7126F">
        <w:rPr>
          <w:rFonts w:ascii="Arial" w:hAnsi="Arial" w:cs="Arial"/>
          <w:sz w:val="24"/>
        </w:rPr>
        <w:t>subsidy</w:t>
      </w:r>
      <w:r w:rsidRPr="00E7126F">
        <w:rPr>
          <w:rFonts w:ascii="Arial" w:hAnsi="Arial" w:cs="Arial"/>
          <w:spacing w:val="-13"/>
          <w:sz w:val="24"/>
        </w:rPr>
        <w:t xml:space="preserve"> </w:t>
      </w:r>
      <w:r w:rsidRPr="00E7126F">
        <w:rPr>
          <w:rFonts w:ascii="Arial" w:hAnsi="Arial" w:cs="Arial"/>
          <w:sz w:val="24"/>
        </w:rPr>
        <w:t>but</w:t>
      </w:r>
      <w:r w:rsidRPr="00E7126F">
        <w:rPr>
          <w:rFonts w:ascii="Arial" w:hAnsi="Arial" w:cs="Arial"/>
          <w:spacing w:val="-13"/>
          <w:sz w:val="24"/>
        </w:rPr>
        <w:t xml:space="preserve"> </w:t>
      </w:r>
      <w:r w:rsidRPr="00E7126F">
        <w:rPr>
          <w:rFonts w:ascii="Arial" w:hAnsi="Arial" w:cs="Arial"/>
          <w:sz w:val="24"/>
        </w:rPr>
        <w:t>failed</w:t>
      </w:r>
      <w:r w:rsidRPr="00E7126F">
        <w:rPr>
          <w:rFonts w:ascii="Arial" w:hAnsi="Arial" w:cs="Arial"/>
          <w:spacing w:val="-14"/>
          <w:sz w:val="24"/>
        </w:rPr>
        <w:t xml:space="preserve"> </w:t>
      </w:r>
      <w:r w:rsidRPr="00E7126F">
        <w:rPr>
          <w:rFonts w:ascii="Arial" w:hAnsi="Arial" w:cs="Arial"/>
          <w:sz w:val="24"/>
        </w:rPr>
        <w:t>to</w:t>
      </w:r>
      <w:r w:rsidRPr="00E7126F">
        <w:rPr>
          <w:rFonts w:ascii="Arial" w:hAnsi="Arial" w:cs="Arial"/>
          <w:spacing w:val="-13"/>
          <w:sz w:val="24"/>
        </w:rPr>
        <w:t xml:space="preserve"> </w:t>
      </w:r>
      <w:r w:rsidRPr="00E7126F">
        <w:rPr>
          <w:rFonts w:ascii="Arial" w:hAnsi="Arial" w:cs="Arial"/>
          <w:sz w:val="24"/>
        </w:rPr>
        <w:t>provide</w:t>
      </w:r>
      <w:r w:rsidRPr="00E7126F">
        <w:rPr>
          <w:rFonts w:ascii="Arial" w:hAnsi="Arial" w:cs="Arial"/>
          <w:spacing w:val="-16"/>
          <w:sz w:val="24"/>
        </w:rPr>
        <w:t xml:space="preserve"> </w:t>
      </w:r>
      <w:r w:rsidRPr="00E7126F">
        <w:rPr>
          <w:rFonts w:ascii="Arial" w:hAnsi="Arial" w:cs="Arial"/>
          <w:sz w:val="24"/>
        </w:rPr>
        <w:t>any</w:t>
      </w:r>
      <w:r w:rsidRPr="00E7126F">
        <w:rPr>
          <w:rFonts w:ascii="Arial" w:hAnsi="Arial" w:cs="Arial"/>
          <w:spacing w:val="-11"/>
          <w:sz w:val="24"/>
        </w:rPr>
        <w:t xml:space="preserve"> </w:t>
      </w:r>
      <w:r w:rsidRPr="00E7126F">
        <w:rPr>
          <w:rFonts w:ascii="Arial" w:hAnsi="Arial" w:cs="Arial"/>
          <w:sz w:val="24"/>
        </w:rPr>
        <w:t>assessment</w:t>
      </w:r>
      <w:r w:rsidRPr="00E7126F">
        <w:rPr>
          <w:rFonts w:ascii="Arial" w:hAnsi="Arial" w:cs="Arial"/>
          <w:spacing w:val="-14"/>
          <w:sz w:val="24"/>
        </w:rPr>
        <w:t xml:space="preserve"> </w:t>
      </w:r>
      <w:r w:rsidRPr="00E7126F">
        <w:rPr>
          <w:rFonts w:ascii="Arial" w:hAnsi="Arial" w:cs="Arial"/>
          <w:sz w:val="24"/>
        </w:rPr>
        <w:t>and</w:t>
      </w:r>
      <w:r w:rsidRPr="00E7126F">
        <w:rPr>
          <w:rFonts w:ascii="Arial" w:hAnsi="Arial" w:cs="Arial"/>
          <w:spacing w:val="-13"/>
          <w:sz w:val="24"/>
        </w:rPr>
        <w:t xml:space="preserve"> </w:t>
      </w:r>
      <w:r w:rsidRPr="00E7126F">
        <w:rPr>
          <w:rFonts w:ascii="Arial" w:hAnsi="Arial" w:cs="Arial"/>
          <w:sz w:val="24"/>
        </w:rPr>
        <w:t xml:space="preserve">evidence of actual benefit to the </w:t>
      </w:r>
      <w:r>
        <w:rPr>
          <w:rFonts w:ascii="Arial" w:hAnsi="Arial" w:cs="Arial" w:hint="eastAsia"/>
          <w:sz w:val="24"/>
        </w:rPr>
        <w:t>Excavator</w:t>
      </w:r>
      <w:r w:rsidRPr="00E7126F">
        <w:rPr>
          <w:rFonts w:ascii="Arial" w:hAnsi="Arial" w:cs="Arial"/>
          <w:sz w:val="24"/>
        </w:rPr>
        <w:t xml:space="preserve"> producers, implicitly admitting that it is not in a position to calculate the alleged benefit and has no evidence of any benefit being received by the </w:t>
      </w:r>
      <w:r>
        <w:rPr>
          <w:rFonts w:ascii="Arial" w:hAnsi="Arial" w:cs="Arial" w:hint="eastAsia"/>
          <w:sz w:val="24"/>
        </w:rPr>
        <w:t>Excavator</w:t>
      </w:r>
      <w:r w:rsidRPr="00E7126F">
        <w:rPr>
          <w:rFonts w:ascii="Arial" w:hAnsi="Arial" w:cs="Arial"/>
          <w:sz w:val="24"/>
        </w:rPr>
        <w:t xml:space="preserve"> producers.</w:t>
      </w:r>
    </w:p>
    <w:p w14:paraId="47934808" w14:textId="77777777" w:rsidR="00E7126F" w:rsidRPr="00E7126F" w:rsidRDefault="00E7126F" w:rsidP="00E7126F">
      <w:pPr>
        <w:pStyle w:val="a7"/>
        <w:rPr>
          <w:rFonts w:ascii="Arial" w:hAnsi="Arial" w:cs="Arial"/>
          <w:sz w:val="21"/>
        </w:rPr>
      </w:pPr>
    </w:p>
    <w:p w14:paraId="783F3C76" w14:textId="7AF48E58" w:rsidR="00E7126F" w:rsidRPr="00E7126F" w:rsidRDefault="00E7126F" w:rsidP="001F79D9">
      <w:pPr>
        <w:pStyle w:val="a9"/>
        <w:widowControl w:val="0"/>
        <w:numPr>
          <w:ilvl w:val="0"/>
          <w:numId w:val="39"/>
        </w:numPr>
        <w:tabs>
          <w:tab w:val="left" w:pos="917"/>
        </w:tabs>
        <w:autoSpaceDE w:val="0"/>
        <w:autoSpaceDN w:val="0"/>
        <w:ind w:right="-46" w:hanging="644"/>
        <w:contextualSpacing w:val="0"/>
        <w:rPr>
          <w:rFonts w:ascii="Arial" w:hAnsi="Arial" w:cs="Arial"/>
          <w:sz w:val="24"/>
        </w:rPr>
      </w:pPr>
      <w:r w:rsidRPr="00E7126F">
        <w:rPr>
          <w:rFonts w:ascii="Arial" w:hAnsi="Arial" w:cs="Arial"/>
          <w:sz w:val="24"/>
        </w:rPr>
        <w:t>Finally,</w:t>
      </w:r>
      <w:r w:rsidRPr="00E7126F">
        <w:rPr>
          <w:rFonts w:ascii="Arial" w:hAnsi="Arial" w:cs="Arial"/>
          <w:spacing w:val="-5"/>
          <w:sz w:val="24"/>
        </w:rPr>
        <w:t xml:space="preserve"> </w:t>
      </w:r>
      <w:r w:rsidRPr="00E7126F">
        <w:rPr>
          <w:rFonts w:ascii="Arial" w:hAnsi="Arial" w:cs="Arial"/>
          <w:sz w:val="24"/>
        </w:rPr>
        <w:t>the</w:t>
      </w:r>
      <w:r w:rsidRPr="00E7126F">
        <w:rPr>
          <w:rFonts w:ascii="Arial" w:hAnsi="Arial" w:cs="Arial"/>
          <w:spacing w:val="-16"/>
          <w:sz w:val="24"/>
        </w:rPr>
        <w:t xml:space="preserve"> </w:t>
      </w:r>
      <w:r w:rsidRPr="00E7126F">
        <w:rPr>
          <w:rFonts w:ascii="Arial" w:hAnsi="Arial" w:cs="Arial"/>
          <w:sz w:val="24"/>
        </w:rPr>
        <w:t>Applicant</w:t>
      </w:r>
      <w:r w:rsidRPr="00E7126F">
        <w:rPr>
          <w:rFonts w:ascii="Arial" w:hAnsi="Arial" w:cs="Arial"/>
          <w:spacing w:val="-3"/>
          <w:sz w:val="24"/>
        </w:rPr>
        <w:t xml:space="preserve"> </w:t>
      </w:r>
      <w:r w:rsidRPr="00E7126F">
        <w:rPr>
          <w:rFonts w:ascii="Arial" w:hAnsi="Arial" w:cs="Arial"/>
          <w:sz w:val="24"/>
        </w:rPr>
        <w:t>provides</w:t>
      </w:r>
      <w:r w:rsidRPr="00E7126F">
        <w:rPr>
          <w:rFonts w:ascii="Arial" w:hAnsi="Arial" w:cs="Arial"/>
          <w:spacing w:val="-5"/>
          <w:sz w:val="24"/>
        </w:rPr>
        <w:t xml:space="preserve"> </w:t>
      </w:r>
      <w:r w:rsidRPr="00E7126F">
        <w:rPr>
          <w:rFonts w:ascii="Arial" w:hAnsi="Arial" w:cs="Arial"/>
          <w:sz w:val="24"/>
        </w:rPr>
        <w:t>no</w:t>
      </w:r>
      <w:r w:rsidRPr="00E7126F">
        <w:rPr>
          <w:rFonts w:ascii="Arial" w:hAnsi="Arial" w:cs="Arial"/>
          <w:spacing w:val="-4"/>
          <w:sz w:val="24"/>
        </w:rPr>
        <w:t xml:space="preserve"> </w:t>
      </w:r>
      <w:r w:rsidRPr="00E7126F">
        <w:rPr>
          <w:rFonts w:ascii="Arial" w:hAnsi="Arial" w:cs="Arial"/>
          <w:sz w:val="24"/>
        </w:rPr>
        <w:t>evidence</w:t>
      </w:r>
      <w:r w:rsidRPr="00E7126F">
        <w:rPr>
          <w:rFonts w:ascii="Arial" w:hAnsi="Arial" w:cs="Arial"/>
          <w:spacing w:val="-3"/>
          <w:sz w:val="24"/>
        </w:rPr>
        <w:t xml:space="preserve"> </w:t>
      </w:r>
      <w:r w:rsidRPr="00E7126F">
        <w:rPr>
          <w:rFonts w:ascii="Arial" w:hAnsi="Arial" w:cs="Arial"/>
          <w:sz w:val="24"/>
        </w:rPr>
        <w:t>of</w:t>
      </w:r>
      <w:r w:rsidRPr="00E7126F">
        <w:rPr>
          <w:rFonts w:ascii="Arial" w:hAnsi="Arial" w:cs="Arial"/>
          <w:spacing w:val="-6"/>
          <w:sz w:val="24"/>
        </w:rPr>
        <w:t xml:space="preserve"> </w:t>
      </w:r>
      <w:r w:rsidRPr="00E7126F">
        <w:rPr>
          <w:rFonts w:ascii="Arial" w:hAnsi="Arial" w:cs="Arial"/>
          <w:sz w:val="24"/>
        </w:rPr>
        <w:t>specificity</w:t>
      </w:r>
      <w:r w:rsidRPr="00E7126F">
        <w:rPr>
          <w:rFonts w:ascii="Arial" w:hAnsi="Arial" w:cs="Arial"/>
          <w:spacing w:val="-4"/>
          <w:sz w:val="24"/>
        </w:rPr>
        <w:t xml:space="preserve"> </w:t>
      </w:r>
      <w:r w:rsidRPr="00E7126F">
        <w:rPr>
          <w:rFonts w:ascii="Arial" w:hAnsi="Arial" w:cs="Arial"/>
          <w:spacing w:val="-3"/>
          <w:sz w:val="24"/>
        </w:rPr>
        <w:t>either.</w:t>
      </w:r>
      <w:r w:rsidRPr="00E7126F">
        <w:rPr>
          <w:rFonts w:ascii="Arial" w:hAnsi="Arial" w:cs="Arial"/>
          <w:spacing w:val="-9"/>
          <w:sz w:val="24"/>
        </w:rPr>
        <w:t xml:space="preserve"> </w:t>
      </w:r>
      <w:r w:rsidRPr="00E7126F">
        <w:rPr>
          <w:rFonts w:ascii="Arial" w:hAnsi="Arial" w:cs="Arial"/>
          <w:sz w:val="24"/>
        </w:rPr>
        <w:t>The</w:t>
      </w:r>
      <w:r w:rsidRPr="00E7126F">
        <w:rPr>
          <w:rFonts w:ascii="Arial" w:hAnsi="Arial" w:cs="Arial"/>
          <w:spacing w:val="-6"/>
          <w:sz w:val="24"/>
        </w:rPr>
        <w:t xml:space="preserve"> </w:t>
      </w:r>
      <w:r w:rsidRPr="00E7126F">
        <w:rPr>
          <w:rFonts w:ascii="Arial" w:hAnsi="Arial" w:cs="Arial"/>
          <w:sz w:val="24"/>
        </w:rPr>
        <w:t>mere statement</w:t>
      </w:r>
      <w:r w:rsidRPr="00E7126F">
        <w:rPr>
          <w:rFonts w:ascii="Arial" w:hAnsi="Arial" w:cs="Arial"/>
          <w:spacing w:val="-4"/>
          <w:sz w:val="24"/>
        </w:rPr>
        <w:t xml:space="preserve"> </w:t>
      </w:r>
      <w:r w:rsidRPr="00E7126F">
        <w:rPr>
          <w:rFonts w:ascii="Arial" w:hAnsi="Arial" w:cs="Arial"/>
          <w:sz w:val="24"/>
        </w:rPr>
        <w:t>that</w:t>
      </w:r>
      <w:r w:rsidRPr="00E7126F">
        <w:rPr>
          <w:rFonts w:ascii="Arial" w:hAnsi="Arial" w:cs="Arial"/>
          <w:spacing w:val="-5"/>
          <w:sz w:val="24"/>
        </w:rPr>
        <w:t xml:space="preserve"> </w:t>
      </w:r>
      <w:r w:rsidRPr="00E7126F">
        <w:rPr>
          <w:rFonts w:ascii="Arial" w:hAnsi="Arial" w:cs="Arial"/>
          <w:sz w:val="24"/>
        </w:rPr>
        <w:t>“</w:t>
      </w:r>
      <w:r w:rsidRPr="00E7126F">
        <w:rPr>
          <w:rFonts w:ascii="Arial" w:hAnsi="Arial" w:cs="Arial"/>
          <w:i/>
          <w:sz w:val="24"/>
        </w:rPr>
        <w:t>(1) bonds cannot be issued without approval from the GOC; (2) bonds are available for companies in encouraged industries only; and (3) the issuance of bonds must comply with the PRC's industrial policies.</w:t>
      </w:r>
      <w:r w:rsidRPr="00E7126F">
        <w:rPr>
          <w:rFonts w:ascii="Arial" w:hAnsi="Arial" w:cs="Arial"/>
          <w:sz w:val="24"/>
        </w:rPr>
        <w:t>”</w:t>
      </w:r>
      <w:r w:rsidRPr="00E7126F">
        <w:rPr>
          <w:rStyle w:val="ab"/>
          <w:rFonts w:ascii="Arial" w:hAnsi="Arial" w:cs="Arial"/>
          <w:sz w:val="24"/>
        </w:rPr>
        <w:footnoteReference w:id="39"/>
      </w:r>
      <w:r w:rsidRPr="00E7126F">
        <w:rPr>
          <w:rFonts w:ascii="Arial" w:hAnsi="Arial" w:cs="Arial"/>
          <w:sz w:val="24"/>
        </w:rPr>
        <w:t xml:space="preserve"> does not</w:t>
      </w:r>
      <w:r w:rsidRPr="00E7126F">
        <w:rPr>
          <w:rFonts w:ascii="Arial" w:hAnsi="Arial" w:cs="Arial"/>
          <w:spacing w:val="-38"/>
          <w:sz w:val="24"/>
        </w:rPr>
        <w:t xml:space="preserve"> </w:t>
      </w:r>
      <w:r w:rsidRPr="00E7126F">
        <w:rPr>
          <w:rFonts w:ascii="Arial" w:hAnsi="Arial" w:cs="Arial"/>
          <w:sz w:val="24"/>
        </w:rPr>
        <w:lastRenderedPageBreak/>
        <w:t xml:space="preserve">establish specificity even on a </w:t>
      </w:r>
      <w:r w:rsidRPr="00E7126F">
        <w:rPr>
          <w:rFonts w:ascii="Arial" w:hAnsi="Arial" w:cs="Arial"/>
          <w:i/>
          <w:sz w:val="24"/>
        </w:rPr>
        <w:t xml:space="preserve">prima facie </w:t>
      </w:r>
      <w:r w:rsidRPr="00E7126F">
        <w:rPr>
          <w:rFonts w:ascii="Arial" w:hAnsi="Arial" w:cs="Arial"/>
          <w:sz w:val="24"/>
        </w:rPr>
        <w:t>basis. In fact, the issuance of CBs and CCBs is a regular commercial practice all over the world including in the EU and the</w:t>
      </w:r>
      <w:r w:rsidRPr="00E7126F">
        <w:rPr>
          <w:rFonts w:ascii="Arial" w:hAnsi="Arial" w:cs="Arial"/>
          <w:spacing w:val="-4"/>
          <w:sz w:val="24"/>
        </w:rPr>
        <w:t xml:space="preserve"> </w:t>
      </w:r>
      <w:r w:rsidRPr="00E7126F">
        <w:rPr>
          <w:rFonts w:ascii="Arial" w:hAnsi="Arial" w:cs="Arial"/>
          <w:sz w:val="24"/>
        </w:rPr>
        <w:t>UK.</w:t>
      </w:r>
    </w:p>
    <w:p w14:paraId="2CFF67BD" w14:textId="77777777" w:rsidR="00E7126F" w:rsidRPr="00E7126F" w:rsidRDefault="00E7126F" w:rsidP="00E7126F">
      <w:pPr>
        <w:pStyle w:val="a9"/>
        <w:widowControl w:val="0"/>
        <w:tabs>
          <w:tab w:val="left" w:pos="917"/>
        </w:tabs>
        <w:autoSpaceDE w:val="0"/>
        <w:autoSpaceDN w:val="0"/>
        <w:ind w:left="644" w:right="-46"/>
        <w:contextualSpacing w:val="0"/>
        <w:rPr>
          <w:rFonts w:ascii="Arial" w:hAnsi="Arial" w:cs="Arial"/>
          <w:sz w:val="24"/>
        </w:rPr>
      </w:pPr>
    </w:p>
    <w:p w14:paraId="4E4C764E" w14:textId="5D3B94A7" w:rsidR="00354C68" w:rsidRDefault="00E7126F" w:rsidP="001F79D9">
      <w:pPr>
        <w:pStyle w:val="a9"/>
        <w:widowControl w:val="0"/>
        <w:numPr>
          <w:ilvl w:val="0"/>
          <w:numId w:val="39"/>
        </w:numPr>
        <w:tabs>
          <w:tab w:val="left" w:pos="917"/>
        </w:tabs>
        <w:autoSpaceDE w:val="0"/>
        <w:autoSpaceDN w:val="0"/>
        <w:ind w:right="-46" w:hanging="786"/>
        <w:contextualSpacing w:val="0"/>
        <w:rPr>
          <w:rFonts w:ascii="Arial" w:hAnsi="Arial" w:cs="Arial"/>
          <w:sz w:val="24"/>
        </w:rPr>
      </w:pPr>
      <w:r w:rsidRPr="00E7126F">
        <w:rPr>
          <w:rFonts w:ascii="Arial" w:hAnsi="Arial" w:cs="Arial"/>
          <w:sz w:val="24"/>
        </w:rPr>
        <w:t>In sum, the investigation of issuance CBs and CCBs will be in violation of Article 11.3 of the SCM Agreement.</w:t>
      </w:r>
      <w:bookmarkEnd w:id="32"/>
    </w:p>
    <w:p w14:paraId="04B6ED6A" w14:textId="77777777" w:rsidR="00E7126F" w:rsidRDefault="00E7126F" w:rsidP="0038092C">
      <w:pPr>
        <w:rPr>
          <w:rFonts w:ascii="Arial" w:hAnsi="Arial" w:cs="Arial"/>
          <w:sz w:val="24"/>
        </w:rPr>
      </w:pPr>
    </w:p>
    <w:p w14:paraId="7DD7BE4A" w14:textId="58AC2361" w:rsidR="005B7DE9" w:rsidRDefault="00000000" w:rsidP="00673F74">
      <w:pPr>
        <w:pStyle w:val="2"/>
        <w:ind w:left="720" w:hanging="720"/>
      </w:pPr>
      <w:hyperlink w:anchor="_bookmark14" w:history="1">
        <w:bookmarkStart w:id="33" w:name="_Toc161355129"/>
        <w:r w:rsidR="005B7DE9">
          <w:t>Alleged provision of goods and services at less than adequate remuneration</w:t>
        </w:r>
        <w:bookmarkEnd w:id="33"/>
      </w:hyperlink>
    </w:p>
    <w:p w14:paraId="39F78214" w14:textId="77777777" w:rsidR="0038092C" w:rsidRPr="0038092C" w:rsidRDefault="0038092C" w:rsidP="0038092C"/>
    <w:p w14:paraId="42BDA0A1" w14:textId="4EB2102A" w:rsidR="0038092C" w:rsidRDefault="0038092C" w:rsidP="0038092C">
      <w:pPr>
        <w:pStyle w:val="3"/>
        <w:spacing w:before="0"/>
        <w:rPr>
          <w:rFonts w:ascii="Arial" w:eastAsiaTheme="minorEastAsia" w:hAnsi="Arial" w:cs="Arial"/>
          <w:b/>
          <w:bCs/>
          <w:color w:val="auto"/>
        </w:rPr>
      </w:pPr>
      <w:bookmarkStart w:id="34" w:name="_Toc161355130"/>
      <w:r w:rsidRPr="0038092C">
        <w:rPr>
          <w:rFonts w:ascii="Arial" w:eastAsia="Times New Roman" w:hAnsi="Arial" w:cs="Arial"/>
          <w:b/>
          <w:bCs/>
          <w:color w:val="auto"/>
          <w:lang w:eastAsia="en-US"/>
        </w:rPr>
        <w:t>Alleged provision of land-use rights at LTAR</w:t>
      </w:r>
      <w:bookmarkEnd w:id="34"/>
      <w:r w:rsidRPr="00131C50">
        <w:rPr>
          <w:rFonts w:ascii="Arial" w:eastAsia="Times New Roman" w:hAnsi="Arial" w:cs="Arial"/>
          <w:b/>
          <w:bCs/>
          <w:color w:val="auto"/>
          <w:lang w:eastAsia="en-US"/>
        </w:rPr>
        <w:t xml:space="preserve"> </w:t>
      </w:r>
    </w:p>
    <w:p w14:paraId="1D503AE2" w14:textId="77777777" w:rsidR="00204111" w:rsidRPr="00204111" w:rsidRDefault="00204111" w:rsidP="00204111"/>
    <w:p w14:paraId="57459602" w14:textId="64BD421A" w:rsidR="00204111" w:rsidRPr="00204111" w:rsidRDefault="00204111" w:rsidP="001F79D9">
      <w:pPr>
        <w:pStyle w:val="a9"/>
        <w:widowControl w:val="0"/>
        <w:numPr>
          <w:ilvl w:val="0"/>
          <w:numId w:val="39"/>
        </w:numPr>
        <w:tabs>
          <w:tab w:val="left" w:pos="917"/>
        </w:tabs>
        <w:autoSpaceDE w:val="0"/>
        <w:autoSpaceDN w:val="0"/>
        <w:ind w:right="95" w:hanging="786"/>
        <w:contextualSpacing w:val="0"/>
        <w:rPr>
          <w:rFonts w:ascii="Arial" w:hAnsi="Arial" w:cs="Arial"/>
          <w:sz w:val="24"/>
        </w:rPr>
      </w:pPr>
      <w:r w:rsidRPr="00204111">
        <w:rPr>
          <w:rFonts w:ascii="Arial" w:hAnsi="Arial" w:cs="Arial"/>
          <w:sz w:val="24"/>
        </w:rPr>
        <w:t xml:space="preserve">According to the Applicant, Chinese </w:t>
      </w:r>
      <w:r>
        <w:rPr>
          <w:rFonts w:ascii="Arial" w:hAnsi="Arial" w:cs="Arial" w:hint="eastAsia"/>
          <w:sz w:val="24"/>
        </w:rPr>
        <w:t>Excavator</w:t>
      </w:r>
      <w:r w:rsidRPr="00204111">
        <w:rPr>
          <w:rFonts w:ascii="Arial" w:hAnsi="Arial" w:cs="Arial"/>
          <w:sz w:val="24"/>
        </w:rPr>
        <w:t xml:space="preserve"> producers were </w:t>
      </w:r>
      <w:r w:rsidRPr="00204111">
        <w:rPr>
          <w:rFonts w:ascii="Arial" w:hAnsi="Arial" w:cs="Arial"/>
          <w:b/>
          <w:sz w:val="24"/>
          <w:u w:val="thick"/>
        </w:rPr>
        <w:t>likely</w:t>
      </w:r>
      <w:r w:rsidRPr="00204111">
        <w:rPr>
          <w:rFonts w:ascii="Arial" w:hAnsi="Arial" w:cs="Arial"/>
          <w:b/>
          <w:sz w:val="24"/>
        </w:rPr>
        <w:t xml:space="preserve"> </w:t>
      </w:r>
      <w:r w:rsidRPr="00204111">
        <w:rPr>
          <w:rFonts w:ascii="Arial" w:hAnsi="Arial" w:cs="Arial"/>
          <w:sz w:val="24"/>
        </w:rPr>
        <w:t>subsidized through the provision of land-use rights (“LURs”) by the GOC at less than adequate remuneration(“LTAR”).</w:t>
      </w:r>
      <w:r w:rsidRPr="00204111">
        <w:rPr>
          <w:rFonts w:ascii="Arial" w:hAnsi="Arial" w:cs="Arial"/>
          <w:spacing w:val="-5"/>
          <w:sz w:val="24"/>
        </w:rPr>
        <w:t xml:space="preserve"> </w:t>
      </w:r>
      <w:r w:rsidRPr="00204111">
        <w:rPr>
          <w:rFonts w:ascii="Arial" w:hAnsi="Arial" w:cs="Arial"/>
          <w:sz w:val="24"/>
        </w:rPr>
        <w:t>Furthermore,</w:t>
      </w:r>
      <w:r w:rsidRPr="00204111">
        <w:rPr>
          <w:rFonts w:ascii="Arial" w:hAnsi="Arial" w:cs="Arial"/>
          <w:spacing w:val="-9"/>
          <w:sz w:val="24"/>
        </w:rPr>
        <w:t xml:space="preserve"> </w:t>
      </w:r>
      <w:r w:rsidRPr="00204111">
        <w:rPr>
          <w:rFonts w:ascii="Arial" w:hAnsi="Arial" w:cs="Arial"/>
          <w:sz w:val="24"/>
        </w:rPr>
        <w:t>according</w:t>
      </w:r>
      <w:r w:rsidRPr="00204111">
        <w:rPr>
          <w:rFonts w:ascii="Arial" w:hAnsi="Arial" w:cs="Arial"/>
          <w:spacing w:val="-8"/>
          <w:sz w:val="24"/>
        </w:rPr>
        <w:t xml:space="preserve"> </w:t>
      </w:r>
      <w:r w:rsidRPr="00204111">
        <w:rPr>
          <w:rFonts w:ascii="Arial" w:hAnsi="Arial" w:cs="Arial"/>
          <w:sz w:val="24"/>
        </w:rPr>
        <w:t>to</w:t>
      </w:r>
      <w:r w:rsidRPr="00204111">
        <w:rPr>
          <w:rFonts w:ascii="Arial" w:hAnsi="Arial" w:cs="Arial"/>
          <w:spacing w:val="-9"/>
          <w:sz w:val="24"/>
        </w:rPr>
        <w:t xml:space="preserve"> </w:t>
      </w:r>
      <w:r w:rsidRPr="00204111">
        <w:rPr>
          <w:rFonts w:ascii="Arial" w:hAnsi="Arial" w:cs="Arial"/>
          <w:sz w:val="24"/>
        </w:rPr>
        <w:t>the</w:t>
      </w:r>
      <w:r w:rsidRPr="00204111">
        <w:rPr>
          <w:rFonts w:ascii="Arial" w:hAnsi="Arial" w:cs="Arial"/>
          <w:spacing w:val="-22"/>
          <w:sz w:val="24"/>
        </w:rPr>
        <w:t xml:space="preserve"> </w:t>
      </w:r>
      <w:r w:rsidRPr="00204111">
        <w:rPr>
          <w:rFonts w:ascii="Arial" w:hAnsi="Arial" w:cs="Arial"/>
          <w:sz w:val="24"/>
        </w:rPr>
        <w:t>Applicant,</w:t>
      </w:r>
      <w:r w:rsidRPr="00204111">
        <w:rPr>
          <w:rFonts w:ascii="Arial" w:hAnsi="Arial" w:cs="Arial"/>
          <w:spacing w:val="-7"/>
          <w:sz w:val="24"/>
        </w:rPr>
        <w:t xml:space="preserve"> </w:t>
      </w:r>
      <w:r w:rsidRPr="00204111">
        <w:rPr>
          <w:rFonts w:ascii="Arial" w:hAnsi="Arial" w:cs="Arial"/>
          <w:sz w:val="24"/>
        </w:rPr>
        <w:t>due</w:t>
      </w:r>
      <w:r w:rsidRPr="00204111">
        <w:rPr>
          <w:rFonts w:ascii="Arial" w:hAnsi="Arial" w:cs="Arial"/>
          <w:spacing w:val="-9"/>
          <w:sz w:val="24"/>
        </w:rPr>
        <w:t xml:space="preserve"> </w:t>
      </w:r>
      <w:r w:rsidRPr="00204111">
        <w:rPr>
          <w:rFonts w:ascii="Arial" w:hAnsi="Arial" w:cs="Arial"/>
          <w:sz w:val="24"/>
        </w:rPr>
        <w:t>to</w:t>
      </w:r>
      <w:r w:rsidRPr="00204111">
        <w:rPr>
          <w:rFonts w:ascii="Arial" w:hAnsi="Arial" w:cs="Arial"/>
          <w:spacing w:val="-7"/>
          <w:sz w:val="24"/>
        </w:rPr>
        <w:t xml:space="preserve"> </w:t>
      </w:r>
      <w:r w:rsidRPr="00204111">
        <w:rPr>
          <w:rFonts w:ascii="Arial" w:hAnsi="Arial" w:cs="Arial"/>
          <w:sz w:val="24"/>
        </w:rPr>
        <w:t>the</w:t>
      </w:r>
      <w:r w:rsidRPr="00204111">
        <w:rPr>
          <w:rFonts w:ascii="Arial" w:hAnsi="Arial" w:cs="Arial"/>
          <w:spacing w:val="-10"/>
          <w:sz w:val="24"/>
        </w:rPr>
        <w:t xml:space="preserve"> </w:t>
      </w:r>
      <w:r w:rsidRPr="00204111">
        <w:rPr>
          <w:rFonts w:ascii="Arial" w:hAnsi="Arial" w:cs="Arial"/>
          <w:sz w:val="24"/>
        </w:rPr>
        <w:t>alleged</w:t>
      </w:r>
      <w:r w:rsidRPr="00204111">
        <w:rPr>
          <w:rFonts w:ascii="Arial" w:hAnsi="Arial" w:cs="Arial"/>
          <w:spacing w:val="-8"/>
          <w:sz w:val="24"/>
        </w:rPr>
        <w:t xml:space="preserve"> </w:t>
      </w:r>
      <w:r w:rsidRPr="00204111">
        <w:rPr>
          <w:rFonts w:ascii="Arial" w:hAnsi="Arial" w:cs="Arial"/>
          <w:sz w:val="24"/>
        </w:rPr>
        <w:t>absence of a functioning market for land in China, an external benchmark should be used to calculate the alleged benefit</w:t>
      </w:r>
      <w:r w:rsidRPr="00204111">
        <w:rPr>
          <w:rFonts w:ascii="Arial" w:hAnsi="Arial" w:cs="Arial"/>
          <w:spacing w:val="-1"/>
          <w:sz w:val="24"/>
        </w:rPr>
        <w:t xml:space="preserve"> </w:t>
      </w:r>
      <w:r w:rsidRPr="00204111">
        <w:rPr>
          <w:rFonts w:ascii="Arial" w:hAnsi="Arial" w:cs="Arial"/>
          <w:sz w:val="24"/>
        </w:rPr>
        <w:t>amount.</w:t>
      </w:r>
    </w:p>
    <w:p w14:paraId="2398AEFC" w14:textId="139FD46C" w:rsidR="00204111" w:rsidRPr="00204111" w:rsidRDefault="00204111" w:rsidP="001F79D9">
      <w:pPr>
        <w:pStyle w:val="a9"/>
        <w:widowControl w:val="0"/>
        <w:numPr>
          <w:ilvl w:val="0"/>
          <w:numId w:val="39"/>
        </w:numPr>
        <w:tabs>
          <w:tab w:val="left" w:pos="917"/>
        </w:tabs>
        <w:autoSpaceDE w:val="0"/>
        <w:autoSpaceDN w:val="0"/>
        <w:spacing w:before="242"/>
        <w:ind w:right="95" w:hanging="786"/>
        <w:contextualSpacing w:val="0"/>
        <w:rPr>
          <w:rFonts w:ascii="Arial" w:hAnsi="Arial" w:cs="Arial"/>
          <w:sz w:val="24"/>
        </w:rPr>
      </w:pPr>
      <w:r w:rsidRPr="00204111">
        <w:rPr>
          <w:rFonts w:ascii="Arial" w:hAnsi="Arial" w:cs="Arial"/>
          <w:sz w:val="24"/>
        </w:rPr>
        <w:t xml:space="preserve">The GOC submits that the provision of LURs does not constitute a subsidy and that, in any case, resort to an </w:t>
      </w:r>
      <w:r>
        <w:rPr>
          <w:rFonts w:ascii="Arial" w:hAnsi="Arial" w:cs="Arial" w:hint="eastAsia"/>
          <w:sz w:val="24"/>
        </w:rPr>
        <w:t>external</w:t>
      </w:r>
      <w:r w:rsidRPr="00204111">
        <w:rPr>
          <w:rFonts w:ascii="Arial" w:hAnsi="Arial" w:cs="Arial"/>
          <w:sz w:val="24"/>
        </w:rPr>
        <w:t xml:space="preserve"> benchmark is legally</w:t>
      </w:r>
      <w:r w:rsidRPr="00204111">
        <w:rPr>
          <w:rFonts w:ascii="Arial" w:hAnsi="Arial" w:cs="Arial"/>
          <w:spacing w:val="-2"/>
          <w:sz w:val="24"/>
        </w:rPr>
        <w:t xml:space="preserve"> </w:t>
      </w:r>
      <w:r w:rsidRPr="00204111">
        <w:rPr>
          <w:rFonts w:ascii="Arial" w:hAnsi="Arial" w:cs="Arial"/>
          <w:sz w:val="24"/>
        </w:rPr>
        <w:t>unjustified.</w:t>
      </w:r>
    </w:p>
    <w:p w14:paraId="337DBCC2" w14:textId="77777777" w:rsidR="00204111" w:rsidRPr="00204111" w:rsidRDefault="00204111" w:rsidP="00204111">
      <w:pPr>
        <w:pStyle w:val="a7"/>
        <w:spacing w:before="10"/>
        <w:ind w:right="95" w:hanging="1058"/>
        <w:rPr>
          <w:rFonts w:ascii="Arial" w:hAnsi="Arial" w:cs="Arial"/>
          <w:sz w:val="20"/>
        </w:rPr>
      </w:pPr>
    </w:p>
    <w:p w14:paraId="79BF35B1" w14:textId="77777777" w:rsidR="00204111" w:rsidRPr="00204111" w:rsidRDefault="00204111" w:rsidP="001F79D9">
      <w:pPr>
        <w:pStyle w:val="a9"/>
        <w:widowControl w:val="0"/>
        <w:numPr>
          <w:ilvl w:val="0"/>
          <w:numId w:val="39"/>
        </w:numPr>
        <w:tabs>
          <w:tab w:val="left" w:pos="917"/>
        </w:tabs>
        <w:autoSpaceDE w:val="0"/>
        <w:autoSpaceDN w:val="0"/>
        <w:ind w:right="95" w:hanging="644"/>
        <w:contextualSpacing w:val="0"/>
        <w:rPr>
          <w:rFonts w:ascii="Arial" w:hAnsi="Arial" w:cs="Arial"/>
          <w:sz w:val="24"/>
        </w:rPr>
      </w:pPr>
      <w:r w:rsidRPr="00204111">
        <w:rPr>
          <w:rFonts w:ascii="Arial" w:hAnsi="Arial" w:cs="Arial"/>
          <w:sz w:val="24"/>
        </w:rPr>
        <w:t>First,</w:t>
      </w:r>
      <w:r w:rsidRPr="00204111">
        <w:rPr>
          <w:rFonts w:ascii="Arial" w:hAnsi="Arial" w:cs="Arial"/>
          <w:spacing w:val="-16"/>
          <w:sz w:val="24"/>
        </w:rPr>
        <w:t xml:space="preserve"> </w:t>
      </w:r>
      <w:r w:rsidRPr="00204111">
        <w:rPr>
          <w:rFonts w:ascii="Arial" w:hAnsi="Arial" w:cs="Arial"/>
          <w:sz w:val="24"/>
        </w:rPr>
        <w:t>Article</w:t>
      </w:r>
      <w:r w:rsidRPr="00204111">
        <w:rPr>
          <w:rFonts w:ascii="Arial" w:hAnsi="Arial" w:cs="Arial"/>
          <w:spacing w:val="-3"/>
          <w:sz w:val="24"/>
        </w:rPr>
        <w:t xml:space="preserve"> </w:t>
      </w:r>
      <w:r w:rsidRPr="00204111">
        <w:rPr>
          <w:rFonts w:ascii="Arial" w:hAnsi="Arial" w:cs="Arial"/>
          <w:sz w:val="24"/>
        </w:rPr>
        <w:t>2</w:t>
      </w:r>
      <w:r w:rsidRPr="00204111">
        <w:rPr>
          <w:rFonts w:ascii="Arial" w:hAnsi="Arial" w:cs="Arial"/>
          <w:spacing w:val="-2"/>
          <w:sz w:val="24"/>
        </w:rPr>
        <w:t xml:space="preserve"> </w:t>
      </w:r>
      <w:r w:rsidRPr="00204111">
        <w:rPr>
          <w:rFonts w:ascii="Arial" w:hAnsi="Arial" w:cs="Arial"/>
          <w:sz w:val="24"/>
        </w:rPr>
        <w:t>of</w:t>
      </w:r>
      <w:r w:rsidRPr="00204111">
        <w:rPr>
          <w:rFonts w:ascii="Arial" w:hAnsi="Arial" w:cs="Arial"/>
          <w:spacing w:val="-5"/>
          <w:sz w:val="24"/>
        </w:rPr>
        <w:t xml:space="preserve"> </w:t>
      </w:r>
      <w:r w:rsidRPr="00204111">
        <w:rPr>
          <w:rFonts w:ascii="Arial" w:hAnsi="Arial" w:cs="Arial"/>
          <w:sz w:val="24"/>
        </w:rPr>
        <w:t>the</w:t>
      </w:r>
      <w:r w:rsidRPr="00204111">
        <w:rPr>
          <w:rFonts w:ascii="Arial" w:hAnsi="Arial" w:cs="Arial"/>
          <w:spacing w:val="-3"/>
          <w:sz w:val="24"/>
        </w:rPr>
        <w:t xml:space="preserve"> </w:t>
      </w:r>
      <w:r w:rsidRPr="00204111">
        <w:rPr>
          <w:rFonts w:ascii="Arial" w:hAnsi="Arial" w:cs="Arial"/>
          <w:sz w:val="24"/>
        </w:rPr>
        <w:t>Land</w:t>
      </w:r>
      <w:r w:rsidRPr="00204111">
        <w:rPr>
          <w:rFonts w:ascii="Arial" w:hAnsi="Arial" w:cs="Arial"/>
          <w:spacing w:val="-17"/>
          <w:sz w:val="24"/>
        </w:rPr>
        <w:t xml:space="preserve"> </w:t>
      </w:r>
      <w:r w:rsidRPr="00204111">
        <w:rPr>
          <w:rFonts w:ascii="Arial" w:hAnsi="Arial" w:cs="Arial"/>
          <w:sz w:val="24"/>
        </w:rPr>
        <w:t>Administration</w:t>
      </w:r>
      <w:r w:rsidRPr="00204111">
        <w:rPr>
          <w:rFonts w:ascii="Arial" w:hAnsi="Arial" w:cs="Arial"/>
          <w:spacing w:val="-2"/>
          <w:sz w:val="24"/>
        </w:rPr>
        <w:t xml:space="preserve"> </w:t>
      </w:r>
      <w:r w:rsidRPr="00204111">
        <w:rPr>
          <w:rFonts w:ascii="Arial" w:hAnsi="Arial" w:cs="Arial"/>
          <w:sz w:val="24"/>
        </w:rPr>
        <w:t>Law</w:t>
      </w:r>
      <w:r w:rsidRPr="00204111">
        <w:rPr>
          <w:rFonts w:ascii="Arial" w:hAnsi="Arial" w:cs="Arial"/>
          <w:spacing w:val="-2"/>
          <w:sz w:val="24"/>
        </w:rPr>
        <w:t xml:space="preserve"> </w:t>
      </w:r>
      <w:r w:rsidRPr="00204111">
        <w:rPr>
          <w:rFonts w:ascii="Arial" w:hAnsi="Arial" w:cs="Arial"/>
          <w:sz w:val="24"/>
        </w:rPr>
        <w:t>does</w:t>
      </w:r>
      <w:r w:rsidRPr="00204111">
        <w:rPr>
          <w:rFonts w:ascii="Arial" w:hAnsi="Arial" w:cs="Arial"/>
          <w:spacing w:val="-3"/>
          <w:sz w:val="24"/>
        </w:rPr>
        <w:t xml:space="preserve"> </w:t>
      </w:r>
      <w:r w:rsidRPr="00204111">
        <w:rPr>
          <w:rFonts w:ascii="Arial" w:hAnsi="Arial" w:cs="Arial"/>
          <w:sz w:val="24"/>
        </w:rPr>
        <w:t>not</w:t>
      </w:r>
      <w:r w:rsidRPr="00204111">
        <w:rPr>
          <w:rFonts w:ascii="Arial" w:hAnsi="Arial" w:cs="Arial"/>
          <w:spacing w:val="-2"/>
          <w:sz w:val="24"/>
        </w:rPr>
        <w:t xml:space="preserve"> </w:t>
      </w:r>
      <w:r w:rsidRPr="00204111">
        <w:rPr>
          <w:rFonts w:ascii="Arial" w:hAnsi="Arial" w:cs="Arial"/>
          <w:sz w:val="24"/>
        </w:rPr>
        <w:t>“</w:t>
      </w:r>
      <w:r w:rsidRPr="00204111">
        <w:rPr>
          <w:rFonts w:ascii="Arial" w:hAnsi="Arial" w:cs="Arial"/>
          <w:i/>
          <w:sz w:val="24"/>
        </w:rPr>
        <w:t>[enable]</w:t>
      </w:r>
      <w:r w:rsidRPr="00204111">
        <w:rPr>
          <w:rFonts w:ascii="Arial" w:hAnsi="Arial" w:cs="Arial"/>
          <w:i/>
          <w:spacing w:val="-2"/>
          <w:sz w:val="24"/>
        </w:rPr>
        <w:t xml:space="preserve"> </w:t>
      </w:r>
      <w:r w:rsidRPr="00204111">
        <w:rPr>
          <w:rFonts w:ascii="Arial" w:hAnsi="Arial" w:cs="Arial"/>
          <w:i/>
          <w:sz w:val="24"/>
        </w:rPr>
        <w:t>the</w:t>
      </w:r>
      <w:r w:rsidRPr="00204111">
        <w:rPr>
          <w:rFonts w:ascii="Arial" w:hAnsi="Arial" w:cs="Arial"/>
          <w:i/>
          <w:spacing w:val="-4"/>
          <w:sz w:val="24"/>
        </w:rPr>
        <w:t xml:space="preserve"> </w:t>
      </w:r>
      <w:r w:rsidRPr="00204111">
        <w:rPr>
          <w:rFonts w:ascii="Arial" w:hAnsi="Arial" w:cs="Arial"/>
          <w:i/>
          <w:sz w:val="24"/>
        </w:rPr>
        <w:t>GOC</w:t>
      </w:r>
      <w:r w:rsidRPr="00204111">
        <w:rPr>
          <w:rFonts w:ascii="Arial" w:hAnsi="Arial" w:cs="Arial"/>
          <w:i/>
          <w:spacing w:val="-2"/>
          <w:sz w:val="24"/>
        </w:rPr>
        <w:t xml:space="preserve"> </w:t>
      </w:r>
      <w:r w:rsidRPr="00204111">
        <w:rPr>
          <w:rFonts w:ascii="Arial" w:hAnsi="Arial" w:cs="Arial"/>
          <w:i/>
          <w:sz w:val="24"/>
        </w:rPr>
        <w:t>to</w:t>
      </w:r>
      <w:r w:rsidRPr="00204111">
        <w:rPr>
          <w:rFonts w:ascii="Arial" w:hAnsi="Arial" w:cs="Arial"/>
          <w:i/>
          <w:spacing w:val="-2"/>
          <w:sz w:val="24"/>
        </w:rPr>
        <w:t xml:space="preserve"> </w:t>
      </w:r>
      <w:r w:rsidRPr="00204111">
        <w:rPr>
          <w:rFonts w:ascii="Arial" w:hAnsi="Arial" w:cs="Arial"/>
          <w:i/>
          <w:sz w:val="24"/>
        </w:rPr>
        <w:t>provide</w:t>
      </w:r>
      <w:r w:rsidRPr="00204111">
        <w:rPr>
          <w:rFonts w:ascii="Arial" w:hAnsi="Arial" w:cs="Arial"/>
          <w:i/>
          <w:spacing w:val="-3"/>
          <w:sz w:val="24"/>
        </w:rPr>
        <w:t xml:space="preserve"> </w:t>
      </w:r>
      <w:r w:rsidRPr="00204111">
        <w:rPr>
          <w:rFonts w:ascii="Arial" w:hAnsi="Arial" w:cs="Arial"/>
          <w:i/>
          <w:sz w:val="24"/>
        </w:rPr>
        <w:t>land</w:t>
      </w:r>
      <w:r w:rsidRPr="00204111">
        <w:rPr>
          <w:rFonts w:ascii="Arial" w:hAnsi="Arial" w:cs="Arial"/>
          <w:i/>
          <w:spacing w:val="-5"/>
          <w:sz w:val="24"/>
        </w:rPr>
        <w:t xml:space="preserve"> </w:t>
      </w:r>
      <w:r w:rsidRPr="00204111">
        <w:rPr>
          <w:rFonts w:ascii="Arial" w:hAnsi="Arial" w:cs="Arial"/>
          <w:i/>
          <w:sz w:val="24"/>
        </w:rPr>
        <w:t xml:space="preserve">at </w:t>
      </w:r>
      <w:r w:rsidRPr="00204111">
        <w:rPr>
          <w:rFonts w:ascii="Arial" w:hAnsi="Arial" w:cs="Arial"/>
          <w:i/>
          <w:spacing w:val="-6"/>
          <w:sz w:val="24"/>
        </w:rPr>
        <w:t xml:space="preserve">LTAR </w:t>
      </w:r>
      <w:r w:rsidRPr="00204111">
        <w:rPr>
          <w:rFonts w:ascii="Arial" w:hAnsi="Arial" w:cs="Arial"/>
          <w:i/>
          <w:sz w:val="24"/>
        </w:rPr>
        <w:t>to promoted industries, including producers of the goods concerned</w:t>
      </w:r>
      <w:r w:rsidRPr="00204111">
        <w:rPr>
          <w:rFonts w:ascii="Arial" w:hAnsi="Arial" w:cs="Arial"/>
          <w:sz w:val="24"/>
        </w:rPr>
        <w:t>.”</w:t>
      </w:r>
      <w:r w:rsidRPr="00204111">
        <w:rPr>
          <w:rFonts w:ascii="Arial" w:hAnsi="Arial" w:cs="Arial"/>
          <w:sz w:val="24"/>
          <w:vertAlign w:val="superscript"/>
        </w:rPr>
        <w:t>125</w:t>
      </w:r>
      <w:r w:rsidRPr="00204111">
        <w:rPr>
          <w:rFonts w:ascii="Arial" w:hAnsi="Arial" w:cs="Arial"/>
          <w:sz w:val="24"/>
        </w:rPr>
        <w:t xml:space="preserve"> In fact, the reality is that LURs are transferred by public bidding, quotation, or auction in accordance with Land Administration </w:t>
      </w:r>
      <w:r w:rsidRPr="00204111">
        <w:rPr>
          <w:rFonts w:ascii="Arial" w:hAnsi="Arial" w:cs="Arial"/>
          <w:spacing w:val="-4"/>
          <w:sz w:val="24"/>
        </w:rPr>
        <w:t xml:space="preserve">Law. </w:t>
      </w:r>
      <w:r w:rsidRPr="00204111">
        <w:rPr>
          <w:rFonts w:ascii="Arial" w:hAnsi="Arial" w:cs="Arial"/>
          <w:sz w:val="24"/>
        </w:rPr>
        <w:t>Indeed, pursuant to Article 347 of the Civil Code of the People’s Republic of</w:t>
      </w:r>
      <w:r w:rsidRPr="00204111">
        <w:rPr>
          <w:rFonts w:ascii="Arial" w:hAnsi="Arial" w:cs="Arial"/>
          <w:spacing w:val="-2"/>
          <w:sz w:val="24"/>
        </w:rPr>
        <w:t xml:space="preserve"> </w:t>
      </w:r>
      <w:r w:rsidRPr="00204111">
        <w:rPr>
          <w:rFonts w:ascii="Arial" w:hAnsi="Arial" w:cs="Arial"/>
          <w:sz w:val="24"/>
        </w:rPr>
        <w:t>China:</w:t>
      </w:r>
    </w:p>
    <w:p w14:paraId="20E392EC" w14:textId="412FE5E9" w:rsidR="0038092C" w:rsidRDefault="00204111" w:rsidP="00672C19">
      <w:pPr>
        <w:ind w:left="1440" w:right="95"/>
        <w:rPr>
          <w:rFonts w:ascii="Arial" w:hAnsi="Arial" w:cs="Arial"/>
          <w:i/>
          <w:sz w:val="24"/>
        </w:rPr>
      </w:pPr>
      <w:r w:rsidRPr="00204111">
        <w:rPr>
          <w:rFonts w:ascii="Arial" w:hAnsi="Arial" w:cs="Arial"/>
          <w:sz w:val="24"/>
        </w:rPr>
        <w:t>“</w:t>
      </w:r>
      <w:r w:rsidRPr="00204111">
        <w:rPr>
          <w:rFonts w:ascii="Arial" w:hAnsi="Arial" w:cs="Arial"/>
          <w:i/>
          <w:sz w:val="24"/>
        </w:rPr>
        <w:t xml:space="preserve">[W]here land is used for industrial, commercial, tourist or entertaining purposes, as commodity residence, or for other profit-making purposes, or there </w:t>
      </w:r>
      <w:r w:rsidRPr="00204111">
        <w:rPr>
          <w:rFonts w:ascii="Arial" w:hAnsi="Arial" w:cs="Arial"/>
          <w:i/>
          <w:spacing w:val="-3"/>
          <w:sz w:val="24"/>
        </w:rPr>
        <w:t xml:space="preserve">are </w:t>
      </w:r>
      <w:r w:rsidRPr="00204111">
        <w:rPr>
          <w:rFonts w:ascii="Arial" w:hAnsi="Arial" w:cs="Arial"/>
          <w:i/>
          <w:sz w:val="24"/>
        </w:rPr>
        <w:t xml:space="preserve">two or </w:t>
      </w:r>
      <w:r w:rsidRPr="00204111">
        <w:rPr>
          <w:rFonts w:ascii="Arial" w:hAnsi="Arial" w:cs="Arial"/>
          <w:i/>
          <w:spacing w:val="-3"/>
          <w:sz w:val="24"/>
        </w:rPr>
        <w:t>more</w:t>
      </w:r>
      <w:r w:rsidRPr="00204111">
        <w:rPr>
          <w:rFonts w:ascii="Arial" w:hAnsi="Arial" w:cs="Arial"/>
          <w:i/>
          <w:spacing w:val="54"/>
          <w:sz w:val="24"/>
        </w:rPr>
        <w:t xml:space="preserve"> </w:t>
      </w:r>
      <w:r w:rsidRPr="00204111">
        <w:rPr>
          <w:rFonts w:ascii="Arial" w:hAnsi="Arial" w:cs="Arial"/>
          <w:i/>
          <w:sz w:val="24"/>
        </w:rPr>
        <w:t xml:space="preserve">persons who </w:t>
      </w:r>
      <w:r w:rsidRPr="00204111">
        <w:rPr>
          <w:rFonts w:ascii="Arial" w:hAnsi="Arial" w:cs="Arial"/>
          <w:i/>
          <w:spacing w:val="-4"/>
          <w:sz w:val="24"/>
        </w:rPr>
        <w:t xml:space="preserve">are </w:t>
      </w:r>
      <w:r w:rsidRPr="00204111">
        <w:rPr>
          <w:rFonts w:ascii="Arial" w:hAnsi="Arial" w:cs="Arial"/>
          <w:i/>
          <w:sz w:val="24"/>
        </w:rPr>
        <w:t>willing to use the same piece of land, the right to the use of land for</w:t>
      </w:r>
      <w:r w:rsidR="00672C19">
        <w:rPr>
          <w:rFonts w:ascii="Arial" w:hAnsi="Arial" w:cs="Arial" w:hint="eastAsia"/>
          <w:i/>
          <w:sz w:val="24"/>
        </w:rPr>
        <w:t xml:space="preserve"> </w:t>
      </w:r>
      <w:r w:rsidR="00672C19" w:rsidRPr="00672C19">
        <w:rPr>
          <w:rFonts w:ascii="Arial" w:hAnsi="Arial" w:cs="Arial"/>
          <w:i/>
          <w:sz w:val="24"/>
        </w:rPr>
        <w:t>construction shall be assigned through bid invitation, auction or other open bidding. The price of the land is established through market competition.”</w:t>
      </w:r>
    </w:p>
    <w:p w14:paraId="39FF7312" w14:textId="77777777" w:rsidR="00672C19" w:rsidRDefault="00672C19" w:rsidP="00672C19">
      <w:pPr>
        <w:ind w:right="95"/>
        <w:rPr>
          <w:rFonts w:ascii="Arial" w:hAnsi="Arial" w:cs="Arial"/>
          <w:iCs/>
          <w:sz w:val="24"/>
        </w:rPr>
      </w:pPr>
    </w:p>
    <w:p w14:paraId="657CF876" w14:textId="77777777" w:rsidR="00672C19" w:rsidRPr="00B45993" w:rsidRDefault="00672C19" w:rsidP="001F79D9">
      <w:pPr>
        <w:pStyle w:val="a9"/>
        <w:widowControl w:val="0"/>
        <w:numPr>
          <w:ilvl w:val="0"/>
          <w:numId w:val="39"/>
        </w:numPr>
        <w:autoSpaceDE w:val="0"/>
        <w:autoSpaceDN w:val="0"/>
        <w:ind w:right="95" w:hanging="644"/>
        <w:contextualSpacing w:val="0"/>
        <w:rPr>
          <w:rFonts w:ascii="Arial" w:hAnsi="Arial" w:cs="Arial"/>
          <w:sz w:val="24"/>
        </w:rPr>
      </w:pPr>
      <w:r w:rsidRPr="00B45993">
        <w:rPr>
          <w:rFonts w:ascii="Arial" w:hAnsi="Arial" w:cs="Arial"/>
          <w:sz w:val="24"/>
        </w:rPr>
        <w:t>Moreover, Article 3 of the Interim Regulations of the PRC Concerning the Assignment and Transfer of the Right to the Use of the State-owned Land in Urban provides</w:t>
      </w:r>
      <w:r w:rsidRPr="00B45993">
        <w:rPr>
          <w:rFonts w:ascii="Arial" w:hAnsi="Arial" w:cs="Arial"/>
          <w:spacing w:val="-13"/>
          <w:sz w:val="24"/>
        </w:rPr>
        <w:t xml:space="preserve"> </w:t>
      </w:r>
      <w:r w:rsidRPr="00B45993">
        <w:rPr>
          <w:rFonts w:ascii="Arial" w:hAnsi="Arial" w:cs="Arial"/>
          <w:sz w:val="24"/>
        </w:rPr>
        <w:t>that:</w:t>
      </w:r>
    </w:p>
    <w:p w14:paraId="0654B76A" w14:textId="77777777" w:rsidR="00672C19" w:rsidRPr="00B45993" w:rsidRDefault="00672C19" w:rsidP="00672C19">
      <w:pPr>
        <w:ind w:left="1482" w:right="-46" w:hanging="42"/>
        <w:rPr>
          <w:rFonts w:ascii="Arial" w:hAnsi="Arial" w:cs="Arial"/>
          <w:sz w:val="24"/>
        </w:rPr>
      </w:pPr>
      <w:r w:rsidRPr="00B45993">
        <w:rPr>
          <w:rFonts w:ascii="Arial" w:hAnsi="Arial" w:cs="Arial"/>
          <w:sz w:val="24"/>
        </w:rPr>
        <w:t>“</w:t>
      </w:r>
      <w:r w:rsidRPr="00B45993">
        <w:rPr>
          <w:rFonts w:ascii="Arial" w:hAnsi="Arial" w:cs="Arial"/>
          <w:i/>
          <w:sz w:val="24"/>
        </w:rPr>
        <w:t>[a]ny company, enterprise, other organization and individual within or outside the People's</w:t>
      </w:r>
      <w:r w:rsidRPr="00B45993">
        <w:rPr>
          <w:rFonts w:ascii="Arial" w:hAnsi="Arial" w:cs="Arial"/>
          <w:i/>
          <w:spacing w:val="-7"/>
          <w:sz w:val="24"/>
        </w:rPr>
        <w:t xml:space="preserve"> </w:t>
      </w:r>
      <w:r w:rsidRPr="00B45993">
        <w:rPr>
          <w:rFonts w:ascii="Arial" w:hAnsi="Arial" w:cs="Arial"/>
          <w:i/>
          <w:sz w:val="24"/>
        </w:rPr>
        <w:t>Republic</w:t>
      </w:r>
      <w:r w:rsidRPr="00B45993">
        <w:rPr>
          <w:rFonts w:ascii="Arial" w:hAnsi="Arial" w:cs="Arial"/>
          <w:i/>
          <w:spacing w:val="-7"/>
          <w:sz w:val="24"/>
        </w:rPr>
        <w:t xml:space="preserve"> </w:t>
      </w:r>
      <w:r w:rsidRPr="00B45993">
        <w:rPr>
          <w:rFonts w:ascii="Arial" w:hAnsi="Arial" w:cs="Arial"/>
          <w:i/>
          <w:sz w:val="24"/>
        </w:rPr>
        <w:t>of</w:t>
      </w:r>
      <w:r w:rsidRPr="00B45993">
        <w:rPr>
          <w:rFonts w:ascii="Arial" w:hAnsi="Arial" w:cs="Arial"/>
          <w:i/>
          <w:spacing w:val="-6"/>
          <w:sz w:val="24"/>
        </w:rPr>
        <w:t xml:space="preserve"> </w:t>
      </w:r>
      <w:r w:rsidRPr="00B45993">
        <w:rPr>
          <w:rFonts w:ascii="Arial" w:hAnsi="Arial" w:cs="Arial"/>
          <w:i/>
          <w:sz w:val="24"/>
        </w:rPr>
        <w:t>China</w:t>
      </w:r>
      <w:r w:rsidRPr="00B45993">
        <w:rPr>
          <w:rFonts w:ascii="Arial" w:hAnsi="Arial" w:cs="Arial"/>
          <w:i/>
          <w:spacing w:val="-6"/>
          <w:sz w:val="24"/>
        </w:rPr>
        <w:t xml:space="preserve"> </w:t>
      </w:r>
      <w:r w:rsidRPr="00B45993">
        <w:rPr>
          <w:rFonts w:ascii="Arial" w:hAnsi="Arial" w:cs="Arial"/>
          <w:i/>
          <w:spacing w:val="-4"/>
          <w:sz w:val="24"/>
        </w:rPr>
        <w:t>may,</w:t>
      </w:r>
      <w:r w:rsidRPr="00B45993">
        <w:rPr>
          <w:rFonts w:ascii="Arial" w:hAnsi="Arial" w:cs="Arial"/>
          <w:i/>
          <w:spacing w:val="-6"/>
          <w:sz w:val="24"/>
        </w:rPr>
        <w:t xml:space="preserve"> </w:t>
      </w:r>
      <w:r w:rsidRPr="00B45993">
        <w:rPr>
          <w:rFonts w:ascii="Arial" w:hAnsi="Arial" w:cs="Arial"/>
          <w:i/>
          <w:sz w:val="24"/>
        </w:rPr>
        <w:t>unless</w:t>
      </w:r>
      <w:r w:rsidRPr="00B45993">
        <w:rPr>
          <w:rFonts w:ascii="Arial" w:hAnsi="Arial" w:cs="Arial"/>
          <w:i/>
          <w:spacing w:val="-6"/>
          <w:sz w:val="24"/>
        </w:rPr>
        <w:t xml:space="preserve"> </w:t>
      </w:r>
      <w:r w:rsidRPr="00B45993">
        <w:rPr>
          <w:rFonts w:ascii="Arial" w:hAnsi="Arial" w:cs="Arial"/>
          <w:i/>
          <w:sz w:val="24"/>
        </w:rPr>
        <w:t>otherwise</w:t>
      </w:r>
      <w:r w:rsidRPr="00B45993">
        <w:rPr>
          <w:rFonts w:ascii="Arial" w:hAnsi="Arial" w:cs="Arial"/>
          <w:i/>
          <w:spacing w:val="-7"/>
          <w:sz w:val="24"/>
        </w:rPr>
        <w:t xml:space="preserve"> </w:t>
      </w:r>
      <w:r w:rsidRPr="00B45993">
        <w:rPr>
          <w:rFonts w:ascii="Arial" w:hAnsi="Arial" w:cs="Arial"/>
          <w:i/>
          <w:sz w:val="24"/>
        </w:rPr>
        <w:t>provided</w:t>
      </w:r>
      <w:r w:rsidRPr="00B45993">
        <w:rPr>
          <w:rFonts w:ascii="Arial" w:hAnsi="Arial" w:cs="Arial"/>
          <w:i/>
          <w:spacing w:val="-7"/>
          <w:sz w:val="24"/>
        </w:rPr>
        <w:t xml:space="preserve"> </w:t>
      </w:r>
      <w:r w:rsidRPr="00B45993">
        <w:rPr>
          <w:rFonts w:ascii="Arial" w:hAnsi="Arial" w:cs="Arial"/>
          <w:i/>
          <w:sz w:val="24"/>
        </w:rPr>
        <w:t>by</w:t>
      </w:r>
      <w:r w:rsidRPr="00B45993">
        <w:rPr>
          <w:rFonts w:ascii="Arial" w:hAnsi="Arial" w:cs="Arial"/>
          <w:i/>
          <w:spacing w:val="-7"/>
          <w:sz w:val="24"/>
        </w:rPr>
        <w:t xml:space="preserve"> </w:t>
      </w:r>
      <w:r w:rsidRPr="00B45993">
        <w:rPr>
          <w:rFonts w:ascii="Arial" w:hAnsi="Arial" w:cs="Arial"/>
          <w:i/>
          <w:spacing w:val="-5"/>
          <w:sz w:val="24"/>
        </w:rPr>
        <w:t>law,</w:t>
      </w:r>
      <w:r w:rsidRPr="00B45993">
        <w:rPr>
          <w:rFonts w:ascii="Arial" w:hAnsi="Arial" w:cs="Arial"/>
          <w:i/>
          <w:spacing w:val="-7"/>
          <w:sz w:val="24"/>
        </w:rPr>
        <w:t xml:space="preserve"> </w:t>
      </w:r>
      <w:r w:rsidRPr="00B45993">
        <w:rPr>
          <w:rFonts w:ascii="Arial" w:hAnsi="Arial" w:cs="Arial"/>
          <w:i/>
          <w:sz w:val="24"/>
        </w:rPr>
        <w:t>obtain</w:t>
      </w:r>
      <w:r w:rsidRPr="00B45993">
        <w:rPr>
          <w:rFonts w:ascii="Arial" w:hAnsi="Arial" w:cs="Arial"/>
          <w:i/>
          <w:spacing w:val="-6"/>
          <w:sz w:val="24"/>
        </w:rPr>
        <w:t xml:space="preserve"> </w:t>
      </w:r>
      <w:r w:rsidRPr="00B45993">
        <w:rPr>
          <w:rFonts w:ascii="Arial" w:hAnsi="Arial" w:cs="Arial"/>
          <w:i/>
          <w:sz w:val="24"/>
        </w:rPr>
        <w:t>the</w:t>
      </w:r>
      <w:r w:rsidRPr="00B45993">
        <w:rPr>
          <w:rFonts w:ascii="Arial" w:hAnsi="Arial" w:cs="Arial"/>
          <w:i/>
          <w:spacing w:val="-7"/>
          <w:sz w:val="24"/>
        </w:rPr>
        <w:t xml:space="preserve"> </w:t>
      </w:r>
      <w:r w:rsidRPr="00B45993">
        <w:rPr>
          <w:rFonts w:ascii="Arial" w:hAnsi="Arial" w:cs="Arial"/>
          <w:i/>
          <w:sz w:val="24"/>
        </w:rPr>
        <w:t>right</w:t>
      </w:r>
      <w:r w:rsidRPr="00B45993">
        <w:rPr>
          <w:rFonts w:ascii="Arial" w:hAnsi="Arial" w:cs="Arial"/>
          <w:i/>
          <w:spacing w:val="-5"/>
          <w:sz w:val="24"/>
        </w:rPr>
        <w:t xml:space="preserve"> </w:t>
      </w:r>
      <w:r w:rsidRPr="00B45993">
        <w:rPr>
          <w:rFonts w:ascii="Arial" w:hAnsi="Arial" w:cs="Arial"/>
          <w:i/>
          <w:sz w:val="24"/>
        </w:rPr>
        <w:t>to</w:t>
      </w:r>
      <w:r w:rsidRPr="00B45993">
        <w:rPr>
          <w:rFonts w:ascii="Arial" w:hAnsi="Arial" w:cs="Arial"/>
          <w:i/>
          <w:spacing w:val="-6"/>
          <w:sz w:val="24"/>
        </w:rPr>
        <w:t xml:space="preserve"> </w:t>
      </w:r>
      <w:r w:rsidRPr="00B45993">
        <w:rPr>
          <w:rFonts w:ascii="Arial" w:hAnsi="Arial" w:cs="Arial"/>
          <w:i/>
          <w:sz w:val="24"/>
        </w:rPr>
        <w:t>the use of the land and engage in land development, utilization and management in accordance with the provisions of these</w:t>
      </w:r>
      <w:r w:rsidRPr="00B45993">
        <w:rPr>
          <w:rFonts w:ascii="Arial" w:hAnsi="Arial" w:cs="Arial"/>
          <w:i/>
          <w:spacing w:val="-5"/>
          <w:sz w:val="24"/>
        </w:rPr>
        <w:t xml:space="preserve"> </w:t>
      </w:r>
      <w:r w:rsidRPr="00B45993">
        <w:rPr>
          <w:rFonts w:ascii="Arial" w:hAnsi="Arial" w:cs="Arial"/>
          <w:i/>
          <w:sz w:val="24"/>
        </w:rPr>
        <w:t>Regulations</w:t>
      </w:r>
      <w:r w:rsidRPr="00B45993">
        <w:rPr>
          <w:rFonts w:ascii="Arial" w:hAnsi="Arial" w:cs="Arial"/>
          <w:sz w:val="24"/>
        </w:rPr>
        <w:t>.”</w:t>
      </w:r>
    </w:p>
    <w:p w14:paraId="7B0D0A3D" w14:textId="77777777" w:rsidR="00672C19" w:rsidRDefault="00672C19" w:rsidP="00672C19">
      <w:pPr>
        <w:pStyle w:val="a7"/>
        <w:spacing w:before="10"/>
        <w:rPr>
          <w:sz w:val="20"/>
        </w:rPr>
      </w:pPr>
    </w:p>
    <w:p w14:paraId="3E4EB0DC" w14:textId="77777777" w:rsidR="00672C19" w:rsidRPr="00672C19" w:rsidRDefault="00672C19" w:rsidP="001F79D9">
      <w:pPr>
        <w:pStyle w:val="a9"/>
        <w:widowControl w:val="0"/>
        <w:numPr>
          <w:ilvl w:val="0"/>
          <w:numId w:val="39"/>
        </w:numPr>
        <w:tabs>
          <w:tab w:val="left" w:pos="917"/>
        </w:tabs>
        <w:autoSpaceDE w:val="0"/>
        <w:autoSpaceDN w:val="0"/>
        <w:spacing w:line="362" w:lineRule="auto"/>
        <w:ind w:right="95" w:hanging="644"/>
        <w:contextualSpacing w:val="0"/>
        <w:rPr>
          <w:rFonts w:ascii="Arial" w:hAnsi="Arial" w:cs="Arial"/>
          <w:sz w:val="24"/>
        </w:rPr>
      </w:pPr>
      <w:r w:rsidRPr="00672C19">
        <w:rPr>
          <w:rFonts w:ascii="Arial" w:hAnsi="Arial" w:cs="Arial"/>
          <w:sz w:val="24"/>
        </w:rPr>
        <w:t xml:space="preserve">Overall, </w:t>
      </w:r>
      <w:r w:rsidRPr="00672C19">
        <w:rPr>
          <w:rFonts w:ascii="Arial" w:hAnsi="Arial" w:cs="Arial"/>
          <w:sz w:val="24"/>
          <w:u w:val="single"/>
        </w:rPr>
        <w:t>any legal person or individual in China can acquire and use LURs through fair</w:t>
      </w:r>
      <w:r w:rsidRPr="00672C19">
        <w:rPr>
          <w:rFonts w:ascii="Arial" w:hAnsi="Arial" w:cs="Arial"/>
          <w:sz w:val="24"/>
        </w:rPr>
        <w:t xml:space="preserve"> </w:t>
      </w:r>
      <w:r w:rsidRPr="00672C19">
        <w:rPr>
          <w:rFonts w:ascii="Arial" w:hAnsi="Arial" w:cs="Arial"/>
          <w:sz w:val="24"/>
          <w:u w:val="single"/>
        </w:rPr>
        <w:t>competition and a public bidding</w:t>
      </w:r>
      <w:r w:rsidRPr="00672C19">
        <w:rPr>
          <w:rFonts w:ascii="Arial" w:hAnsi="Arial" w:cs="Arial"/>
          <w:spacing w:val="-4"/>
          <w:sz w:val="24"/>
          <w:u w:val="single"/>
        </w:rPr>
        <w:t xml:space="preserve"> </w:t>
      </w:r>
      <w:r w:rsidRPr="00672C19">
        <w:rPr>
          <w:rFonts w:ascii="Arial" w:hAnsi="Arial" w:cs="Arial"/>
          <w:sz w:val="24"/>
          <w:u w:val="single"/>
        </w:rPr>
        <w:t>process</w:t>
      </w:r>
      <w:r w:rsidRPr="00672C19">
        <w:rPr>
          <w:rFonts w:ascii="Arial" w:hAnsi="Arial" w:cs="Arial"/>
          <w:sz w:val="24"/>
        </w:rPr>
        <w:t>.</w:t>
      </w:r>
    </w:p>
    <w:p w14:paraId="6BE3B492" w14:textId="77777777" w:rsidR="00672C19" w:rsidRPr="00672C19" w:rsidRDefault="00672C19" w:rsidP="00672C19">
      <w:pPr>
        <w:pStyle w:val="a7"/>
        <w:spacing w:before="8"/>
        <w:ind w:right="95" w:hanging="916"/>
        <w:rPr>
          <w:rFonts w:ascii="Arial" w:hAnsi="Arial" w:cs="Arial"/>
          <w:sz w:val="12"/>
        </w:rPr>
      </w:pPr>
    </w:p>
    <w:p w14:paraId="19933E47" w14:textId="1C02BE32" w:rsidR="00672C19" w:rsidRPr="00672C19" w:rsidRDefault="00672C19" w:rsidP="001F79D9">
      <w:pPr>
        <w:pStyle w:val="a9"/>
        <w:widowControl w:val="0"/>
        <w:numPr>
          <w:ilvl w:val="0"/>
          <w:numId w:val="39"/>
        </w:numPr>
        <w:tabs>
          <w:tab w:val="left" w:pos="917"/>
        </w:tabs>
        <w:autoSpaceDE w:val="0"/>
        <w:autoSpaceDN w:val="0"/>
        <w:spacing w:before="90"/>
        <w:ind w:right="95" w:hanging="644"/>
        <w:contextualSpacing w:val="0"/>
        <w:rPr>
          <w:rFonts w:ascii="Arial" w:hAnsi="Arial" w:cs="Arial"/>
          <w:sz w:val="24"/>
        </w:rPr>
      </w:pPr>
      <w:r w:rsidRPr="00672C19">
        <w:rPr>
          <w:rFonts w:ascii="Arial" w:hAnsi="Arial" w:cs="Arial"/>
          <w:sz w:val="24"/>
        </w:rPr>
        <w:t xml:space="preserve">Second, the Applicant simply asserts that because the </w:t>
      </w:r>
      <w:r w:rsidR="00B45993">
        <w:rPr>
          <w:rFonts w:ascii="Arial" w:hAnsi="Arial" w:cs="Arial" w:hint="eastAsia"/>
          <w:sz w:val="24"/>
        </w:rPr>
        <w:t>TRA</w:t>
      </w:r>
      <w:r w:rsidRPr="00672C19">
        <w:rPr>
          <w:rFonts w:ascii="Arial" w:hAnsi="Arial" w:cs="Arial"/>
          <w:sz w:val="24"/>
        </w:rPr>
        <w:t xml:space="preserve"> has found, in the context of previous, completely unrelated investigations, that the provision of LURs at </w:t>
      </w:r>
      <w:r w:rsidRPr="00672C19">
        <w:rPr>
          <w:rFonts w:ascii="Arial" w:hAnsi="Arial" w:cs="Arial"/>
          <w:spacing w:val="-11"/>
          <w:sz w:val="24"/>
        </w:rPr>
        <w:t xml:space="preserve">LTAR </w:t>
      </w:r>
      <w:r w:rsidRPr="00672C19">
        <w:rPr>
          <w:rFonts w:ascii="Arial" w:hAnsi="Arial" w:cs="Arial"/>
          <w:sz w:val="24"/>
        </w:rPr>
        <w:t xml:space="preserve">can amount to a countervailable subsidy, Chinese </w:t>
      </w:r>
      <w:r>
        <w:rPr>
          <w:rFonts w:ascii="Arial" w:hAnsi="Arial" w:cs="Arial" w:hint="eastAsia"/>
          <w:sz w:val="24"/>
        </w:rPr>
        <w:t>Excavator</w:t>
      </w:r>
      <w:r w:rsidRPr="00672C19">
        <w:rPr>
          <w:rFonts w:ascii="Arial" w:hAnsi="Arial" w:cs="Arial"/>
          <w:sz w:val="24"/>
        </w:rPr>
        <w:t xml:space="preserve"> producers are “likely” to benefit from this</w:t>
      </w:r>
      <w:r w:rsidRPr="00672C19">
        <w:rPr>
          <w:rFonts w:ascii="Arial" w:hAnsi="Arial" w:cs="Arial"/>
          <w:spacing w:val="-4"/>
          <w:sz w:val="24"/>
        </w:rPr>
        <w:t xml:space="preserve"> </w:t>
      </w:r>
      <w:r w:rsidRPr="00672C19">
        <w:rPr>
          <w:rFonts w:ascii="Arial" w:hAnsi="Arial" w:cs="Arial"/>
          <w:sz w:val="24"/>
        </w:rPr>
        <w:t>alleged</w:t>
      </w:r>
      <w:r w:rsidRPr="00672C19">
        <w:rPr>
          <w:rFonts w:ascii="Arial" w:hAnsi="Arial" w:cs="Arial"/>
          <w:spacing w:val="-2"/>
          <w:sz w:val="24"/>
        </w:rPr>
        <w:t xml:space="preserve"> </w:t>
      </w:r>
      <w:r w:rsidRPr="00672C19">
        <w:rPr>
          <w:rFonts w:ascii="Arial" w:hAnsi="Arial" w:cs="Arial"/>
          <w:sz w:val="24"/>
        </w:rPr>
        <w:t>subsidy</w:t>
      </w:r>
      <w:r w:rsidRPr="00672C19">
        <w:rPr>
          <w:rFonts w:ascii="Arial" w:hAnsi="Arial" w:cs="Arial"/>
          <w:spacing w:val="-2"/>
          <w:sz w:val="24"/>
        </w:rPr>
        <w:t xml:space="preserve"> </w:t>
      </w:r>
      <w:r w:rsidRPr="00672C19">
        <w:rPr>
          <w:rFonts w:ascii="Arial" w:hAnsi="Arial" w:cs="Arial"/>
          <w:sz w:val="24"/>
        </w:rPr>
        <w:t>program</w:t>
      </w:r>
      <w:r w:rsidRPr="00672C19">
        <w:rPr>
          <w:rFonts w:ascii="Arial" w:hAnsi="Arial" w:cs="Arial"/>
          <w:spacing w:val="-1"/>
          <w:sz w:val="24"/>
        </w:rPr>
        <w:t xml:space="preserve"> </w:t>
      </w:r>
      <w:r w:rsidRPr="00672C19">
        <w:rPr>
          <w:rFonts w:ascii="Arial" w:hAnsi="Arial" w:cs="Arial"/>
          <w:sz w:val="24"/>
        </w:rPr>
        <w:t>as</w:t>
      </w:r>
      <w:r w:rsidRPr="00672C19">
        <w:rPr>
          <w:rFonts w:ascii="Arial" w:hAnsi="Arial" w:cs="Arial"/>
          <w:spacing w:val="-2"/>
          <w:sz w:val="24"/>
        </w:rPr>
        <w:t xml:space="preserve"> </w:t>
      </w:r>
      <w:r w:rsidRPr="00672C19">
        <w:rPr>
          <w:rFonts w:ascii="Arial" w:hAnsi="Arial" w:cs="Arial"/>
          <w:sz w:val="24"/>
        </w:rPr>
        <w:t>they</w:t>
      </w:r>
      <w:r w:rsidRPr="00672C19">
        <w:rPr>
          <w:rFonts w:ascii="Arial" w:hAnsi="Arial" w:cs="Arial"/>
          <w:spacing w:val="-2"/>
          <w:sz w:val="24"/>
        </w:rPr>
        <w:t xml:space="preserve"> </w:t>
      </w:r>
      <w:r w:rsidRPr="00672C19">
        <w:rPr>
          <w:rFonts w:ascii="Arial" w:hAnsi="Arial" w:cs="Arial"/>
          <w:sz w:val="24"/>
        </w:rPr>
        <w:t>are</w:t>
      </w:r>
      <w:r w:rsidRPr="00672C19">
        <w:rPr>
          <w:rFonts w:ascii="Arial" w:hAnsi="Arial" w:cs="Arial"/>
          <w:spacing w:val="-5"/>
          <w:sz w:val="24"/>
        </w:rPr>
        <w:t xml:space="preserve"> </w:t>
      </w:r>
      <w:r w:rsidRPr="00672C19">
        <w:rPr>
          <w:rFonts w:ascii="Arial" w:hAnsi="Arial" w:cs="Arial"/>
          <w:sz w:val="24"/>
        </w:rPr>
        <w:t>part</w:t>
      </w:r>
      <w:r w:rsidRPr="00672C19">
        <w:rPr>
          <w:rFonts w:ascii="Arial" w:hAnsi="Arial" w:cs="Arial"/>
          <w:spacing w:val="-2"/>
          <w:sz w:val="24"/>
        </w:rPr>
        <w:t xml:space="preserve"> </w:t>
      </w:r>
      <w:r w:rsidRPr="00672C19">
        <w:rPr>
          <w:rFonts w:ascii="Arial" w:hAnsi="Arial" w:cs="Arial"/>
          <w:sz w:val="24"/>
        </w:rPr>
        <w:t>of</w:t>
      </w:r>
      <w:r w:rsidRPr="00672C19">
        <w:rPr>
          <w:rFonts w:ascii="Arial" w:hAnsi="Arial" w:cs="Arial"/>
          <w:spacing w:val="-3"/>
          <w:sz w:val="24"/>
        </w:rPr>
        <w:t xml:space="preserve"> </w:t>
      </w:r>
      <w:r w:rsidRPr="00672C19">
        <w:rPr>
          <w:rFonts w:ascii="Arial" w:hAnsi="Arial" w:cs="Arial"/>
          <w:sz w:val="24"/>
        </w:rPr>
        <w:t>an encouraged</w:t>
      </w:r>
      <w:r w:rsidRPr="00672C19">
        <w:rPr>
          <w:rFonts w:ascii="Arial" w:hAnsi="Arial" w:cs="Arial"/>
          <w:spacing w:val="-2"/>
          <w:sz w:val="24"/>
        </w:rPr>
        <w:t xml:space="preserve"> </w:t>
      </w:r>
      <w:r w:rsidRPr="00672C19">
        <w:rPr>
          <w:rFonts w:ascii="Arial" w:hAnsi="Arial" w:cs="Arial"/>
          <w:sz w:val="24"/>
        </w:rPr>
        <w:t>industry.</w:t>
      </w:r>
      <w:r w:rsidR="00B45993">
        <w:rPr>
          <w:rStyle w:val="ab"/>
          <w:rFonts w:ascii="Arial" w:hAnsi="Arial" w:cs="Arial"/>
          <w:sz w:val="24"/>
        </w:rPr>
        <w:footnoteReference w:id="40"/>
      </w:r>
      <w:r w:rsidRPr="00672C19">
        <w:rPr>
          <w:rFonts w:ascii="Arial" w:hAnsi="Arial" w:cs="Arial"/>
          <w:spacing w:val="-6"/>
          <w:sz w:val="24"/>
        </w:rPr>
        <w:t xml:space="preserve"> </w:t>
      </w:r>
      <w:r w:rsidRPr="00672C19">
        <w:rPr>
          <w:rFonts w:ascii="Arial" w:hAnsi="Arial" w:cs="Arial"/>
          <w:sz w:val="24"/>
        </w:rPr>
        <w:t>Thus,</w:t>
      </w:r>
      <w:r w:rsidRPr="00672C19">
        <w:rPr>
          <w:rFonts w:ascii="Arial" w:hAnsi="Arial" w:cs="Arial"/>
          <w:spacing w:val="-2"/>
          <w:sz w:val="24"/>
        </w:rPr>
        <w:t xml:space="preserve"> </w:t>
      </w:r>
      <w:r w:rsidRPr="00672C19">
        <w:rPr>
          <w:rFonts w:ascii="Arial" w:hAnsi="Arial" w:cs="Arial"/>
          <w:sz w:val="24"/>
        </w:rPr>
        <w:t>the</w:t>
      </w:r>
      <w:r w:rsidRPr="00672C19">
        <w:rPr>
          <w:rFonts w:ascii="Arial" w:hAnsi="Arial" w:cs="Arial"/>
          <w:spacing w:val="-18"/>
          <w:sz w:val="24"/>
        </w:rPr>
        <w:t xml:space="preserve"> </w:t>
      </w:r>
      <w:r w:rsidRPr="00672C19">
        <w:rPr>
          <w:rFonts w:ascii="Arial" w:hAnsi="Arial" w:cs="Arial"/>
          <w:sz w:val="24"/>
        </w:rPr>
        <w:t xml:space="preserve">Applicant itself admits that it has no proof that </w:t>
      </w:r>
      <w:r>
        <w:rPr>
          <w:rFonts w:ascii="Arial" w:hAnsi="Arial" w:cs="Arial" w:hint="eastAsia"/>
          <w:sz w:val="24"/>
        </w:rPr>
        <w:t>Excavator</w:t>
      </w:r>
      <w:r w:rsidRPr="00672C19">
        <w:rPr>
          <w:rFonts w:ascii="Arial" w:hAnsi="Arial" w:cs="Arial"/>
          <w:sz w:val="24"/>
        </w:rPr>
        <w:t xml:space="preserve"> producers obtained LURs at </w:t>
      </w:r>
      <w:r w:rsidRPr="00672C19">
        <w:rPr>
          <w:rFonts w:ascii="Arial" w:hAnsi="Arial" w:cs="Arial"/>
          <w:spacing w:val="-10"/>
          <w:sz w:val="24"/>
        </w:rPr>
        <w:t xml:space="preserve">LTAR </w:t>
      </w:r>
      <w:r w:rsidRPr="00672C19">
        <w:rPr>
          <w:rFonts w:ascii="Arial" w:hAnsi="Arial" w:cs="Arial"/>
          <w:sz w:val="24"/>
        </w:rPr>
        <w:t>in general and in the investigation period. Such unsubstantiated assertions do not qualify as</w:t>
      </w:r>
      <w:r w:rsidRPr="00672C19">
        <w:rPr>
          <w:rFonts w:ascii="Arial" w:hAnsi="Arial" w:cs="Arial"/>
          <w:spacing w:val="-5"/>
          <w:sz w:val="24"/>
        </w:rPr>
        <w:t xml:space="preserve"> </w:t>
      </w:r>
      <w:r w:rsidRPr="00672C19">
        <w:rPr>
          <w:rFonts w:ascii="Arial" w:hAnsi="Arial" w:cs="Arial"/>
          <w:sz w:val="24"/>
        </w:rPr>
        <w:t>evidence.</w:t>
      </w:r>
    </w:p>
    <w:p w14:paraId="40C8D95F" w14:textId="77777777" w:rsidR="00672C19" w:rsidRPr="00672C19" w:rsidRDefault="00672C19" w:rsidP="00672C19">
      <w:pPr>
        <w:pStyle w:val="a7"/>
        <w:spacing w:before="10"/>
        <w:ind w:right="95" w:hanging="916"/>
        <w:rPr>
          <w:rFonts w:ascii="Arial" w:hAnsi="Arial" w:cs="Arial"/>
          <w:sz w:val="20"/>
        </w:rPr>
      </w:pPr>
    </w:p>
    <w:p w14:paraId="7447F876" w14:textId="09D90D3C" w:rsidR="00672C19" w:rsidRPr="00672C19" w:rsidRDefault="00672C19" w:rsidP="001F79D9">
      <w:pPr>
        <w:pStyle w:val="a9"/>
        <w:widowControl w:val="0"/>
        <w:numPr>
          <w:ilvl w:val="0"/>
          <w:numId w:val="39"/>
        </w:numPr>
        <w:tabs>
          <w:tab w:val="left" w:pos="917"/>
        </w:tabs>
        <w:autoSpaceDE w:val="0"/>
        <w:autoSpaceDN w:val="0"/>
        <w:ind w:right="95" w:hanging="644"/>
        <w:contextualSpacing w:val="0"/>
        <w:rPr>
          <w:rFonts w:ascii="Arial" w:hAnsi="Arial" w:cs="Arial"/>
          <w:sz w:val="24"/>
        </w:rPr>
      </w:pPr>
      <w:r w:rsidRPr="00672C19">
        <w:rPr>
          <w:rFonts w:ascii="Arial" w:hAnsi="Arial" w:cs="Arial"/>
          <w:sz w:val="24"/>
        </w:rPr>
        <w:t xml:space="preserve">Third, the Applicant’s allegation of the provision of LURs at </w:t>
      </w:r>
      <w:r w:rsidRPr="00672C19">
        <w:rPr>
          <w:rFonts w:ascii="Arial" w:hAnsi="Arial" w:cs="Arial"/>
          <w:spacing w:val="-11"/>
          <w:sz w:val="24"/>
        </w:rPr>
        <w:t xml:space="preserve">LTAR </w:t>
      </w:r>
      <w:r w:rsidRPr="00672C19">
        <w:rPr>
          <w:rFonts w:ascii="Arial" w:hAnsi="Arial" w:cs="Arial"/>
          <w:sz w:val="24"/>
        </w:rPr>
        <w:t xml:space="preserve">being specific to the </w:t>
      </w:r>
      <w:r>
        <w:rPr>
          <w:rFonts w:ascii="Arial" w:hAnsi="Arial" w:cs="Arial" w:hint="eastAsia"/>
          <w:sz w:val="24"/>
        </w:rPr>
        <w:t>Excavator</w:t>
      </w:r>
      <w:r w:rsidRPr="00672C19">
        <w:rPr>
          <w:rFonts w:ascii="Arial" w:hAnsi="Arial" w:cs="Arial"/>
          <w:sz w:val="24"/>
        </w:rPr>
        <w:t xml:space="preserve"> industry is factually incorrect. The Application does not demonstrate or even indicate the existence of any preferential policy for the </w:t>
      </w:r>
      <w:r>
        <w:rPr>
          <w:rFonts w:ascii="Arial" w:hAnsi="Arial" w:cs="Arial" w:hint="eastAsia"/>
          <w:sz w:val="24"/>
        </w:rPr>
        <w:t>Excavator</w:t>
      </w:r>
      <w:r w:rsidRPr="00672C19">
        <w:rPr>
          <w:rFonts w:ascii="Arial" w:hAnsi="Arial" w:cs="Arial"/>
          <w:spacing w:val="-5"/>
          <w:sz w:val="24"/>
        </w:rPr>
        <w:t xml:space="preserve"> </w:t>
      </w:r>
      <w:r w:rsidRPr="00672C19">
        <w:rPr>
          <w:rFonts w:ascii="Arial" w:hAnsi="Arial" w:cs="Arial"/>
          <w:sz w:val="24"/>
        </w:rPr>
        <w:t>industry.</w:t>
      </w:r>
    </w:p>
    <w:p w14:paraId="0813B6BD" w14:textId="77777777" w:rsidR="00672C19" w:rsidRPr="00672C19" w:rsidRDefault="00672C19" w:rsidP="00672C19">
      <w:pPr>
        <w:pStyle w:val="a7"/>
        <w:ind w:right="95" w:hanging="916"/>
        <w:rPr>
          <w:rFonts w:ascii="Arial" w:hAnsi="Arial" w:cs="Arial"/>
          <w:sz w:val="21"/>
        </w:rPr>
      </w:pPr>
    </w:p>
    <w:p w14:paraId="77562B7A" w14:textId="61FC849D" w:rsidR="00672C19" w:rsidRPr="00672C19" w:rsidRDefault="00672C19" w:rsidP="001F79D9">
      <w:pPr>
        <w:pStyle w:val="a9"/>
        <w:widowControl w:val="0"/>
        <w:numPr>
          <w:ilvl w:val="0"/>
          <w:numId w:val="39"/>
        </w:numPr>
        <w:tabs>
          <w:tab w:val="left" w:pos="917"/>
        </w:tabs>
        <w:autoSpaceDE w:val="0"/>
        <w:autoSpaceDN w:val="0"/>
        <w:ind w:right="95" w:hanging="644"/>
        <w:contextualSpacing w:val="0"/>
        <w:rPr>
          <w:rFonts w:ascii="Arial" w:hAnsi="Arial" w:cs="Arial"/>
          <w:sz w:val="24"/>
        </w:rPr>
      </w:pPr>
      <w:r w:rsidRPr="00672C19">
        <w:rPr>
          <w:rFonts w:ascii="Arial" w:hAnsi="Arial" w:cs="Arial"/>
          <w:sz w:val="24"/>
        </w:rPr>
        <w:t>Fourth,</w:t>
      </w:r>
      <w:r w:rsidRPr="00672C19">
        <w:rPr>
          <w:rFonts w:ascii="Arial" w:hAnsi="Arial" w:cs="Arial"/>
          <w:spacing w:val="-15"/>
          <w:sz w:val="24"/>
        </w:rPr>
        <w:t xml:space="preserve"> </w:t>
      </w:r>
      <w:r w:rsidRPr="00672C19">
        <w:rPr>
          <w:rFonts w:ascii="Arial" w:hAnsi="Arial" w:cs="Arial"/>
          <w:sz w:val="24"/>
        </w:rPr>
        <w:t>as</w:t>
      </w:r>
      <w:r w:rsidRPr="00672C19">
        <w:rPr>
          <w:rFonts w:ascii="Arial" w:hAnsi="Arial" w:cs="Arial"/>
          <w:spacing w:val="-13"/>
          <w:sz w:val="24"/>
        </w:rPr>
        <w:t xml:space="preserve"> </w:t>
      </w:r>
      <w:r w:rsidRPr="00672C19">
        <w:rPr>
          <w:rFonts w:ascii="Arial" w:hAnsi="Arial" w:cs="Arial"/>
          <w:sz w:val="24"/>
        </w:rPr>
        <w:t>regards</w:t>
      </w:r>
      <w:r w:rsidRPr="00672C19">
        <w:rPr>
          <w:rFonts w:ascii="Arial" w:hAnsi="Arial" w:cs="Arial"/>
          <w:spacing w:val="-15"/>
          <w:sz w:val="24"/>
        </w:rPr>
        <w:t xml:space="preserve"> </w:t>
      </w:r>
      <w:r w:rsidRPr="00672C19">
        <w:rPr>
          <w:rFonts w:ascii="Arial" w:hAnsi="Arial" w:cs="Arial"/>
          <w:sz w:val="24"/>
        </w:rPr>
        <w:t>the</w:t>
      </w:r>
      <w:r w:rsidRPr="00672C19">
        <w:rPr>
          <w:rFonts w:ascii="Arial" w:hAnsi="Arial" w:cs="Arial"/>
          <w:spacing w:val="-14"/>
          <w:sz w:val="24"/>
        </w:rPr>
        <w:t xml:space="preserve"> </w:t>
      </w:r>
      <w:r w:rsidRPr="00672C19">
        <w:rPr>
          <w:rFonts w:ascii="Arial" w:hAnsi="Arial" w:cs="Arial"/>
          <w:sz w:val="24"/>
        </w:rPr>
        <w:t>existence</w:t>
      </w:r>
      <w:r w:rsidRPr="00672C19">
        <w:rPr>
          <w:rFonts w:ascii="Arial" w:hAnsi="Arial" w:cs="Arial"/>
          <w:spacing w:val="-15"/>
          <w:sz w:val="24"/>
        </w:rPr>
        <w:t xml:space="preserve"> </w:t>
      </w:r>
      <w:r w:rsidRPr="00672C19">
        <w:rPr>
          <w:rFonts w:ascii="Arial" w:hAnsi="Arial" w:cs="Arial"/>
          <w:sz w:val="24"/>
        </w:rPr>
        <w:t>of</w:t>
      </w:r>
      <w:r w:rsidRPr="00672C19">
        <w:rPr>
          <w:rFonts w:ascii="Arial" w:hAnsi="Arial" w:cs="Arial"/>
          <w:spacing w:val="-14"/>
          <w:sz w:val="24"/>
        </w:rPr>
        <w:t xml:space="preserve"> </w:t>
      </w:r>
      <w:r w:rsidRPr="00672C19">
        <w:rPr>
          <w:rFonts w:ascii="Arial" w:hAnsi="Arial" w:cs="Arial"/>
          <w:sz w:val="24"/>
        </w:rPr>
        <w:t>an</w:t>
      </w:r>
      <w:r w:rsidRPr="00672C19">
        <w:rPr>
          <w:rFonts w:ascii="Arial" w:hAnsi="Arial" w:cs="Arial"/>
          <w:spacing w:val="-13"/>
          <w:sz w:val="24"/>
        </w:rPr>
        <w:t xml:space="preserve"> </w:t>
      </w:r>
      <w:r w:rsidRPr="00672C19">
        <w:rPr>
          <w:rFonts w:ascii="Arial" w:hAnsi="Arial" w:cs="Arial"/>
          <w:sz w:val="24"/>
        </w:rPr>
        <w:t>alleged</w:t>
      </w:r>
      <w:r w:rsidRPr="00672C19">
        <w:rPr>
          <w:rFonts w:ascii="Arial" w:hAnsi="Arial" w:cs="Arial"/>
          <w:spacing w:val="-14"/>
          <w:sz w:val="24"/>
        </w:rPr>
        <w:t xml:space="preserve"> </w:t>
      </w:r>
      <w:r w:rsidRPr="00672C19">
        <w:rPr>
          <w:rFonts w:ascii="Arial" w:hAnsi="Arial" w:cs="Arial"/>
          <w:sz w:val="24"/>
        </w:rPr>
        <w:t>benefit,</w:t>
      </w:r>
      <w:r w:rsidRPr="00672C19">
        <w:rPr>
          <w:rFonts w:ascii="Arial" w:hAnsi="Arial" w:cs="Arial"/>
          <w:spacing w:val="-13"/>
          <w:sz w:val="24"/>
        </w:rPr>
        <w:t xml:space="preserve"> </w:t>
      </w:r>
      <w:r w:rsidRPr="00672C19">
        <w:rPr>
          <w:rFonts w:ascii="Arial" w:hAnsi="Arial" w:cs="Arial"/>
          <w:sz w:val="24"/>
        </w:rPr>
        <w:t>the</w:t>
      </w:r>
      <w:r w:rsidRPr="00672C19">
        <w:rPr>
          <w:rFonts w:ascii="Arial" w:hAnsi="Arial" w:cs="Arial"/>
          <w:spacing w:val="-26"/>
          <w:sz w:val="24"/>
        </w:rPr>
        <w:t xml:space="preserve"> </w:t>
      </w:r>
      <w:r w:rsidRPr="00672C19">
        <w:rPr>
          <w:rFonts w:ascii="Arial" w:hAnsi="Arial" w:cs="Arial"/>
          <w:sz w:val="24"/>
        </w:rPr>
        <w:t>Applicant</w:t>
      </w:r>
      <w:r w:rsidRPr="00672C19">
        <w:rPr>
          <w:rFonts w:ascii="Arial" w:hAnsi="Arial" w:cs="Arial"/>
          <w:spacing w:val="-14"/>
          <w:sz w:val="24"/>
        </w:rPr>
        <w:t xml:space="preserve"> </w:t>
      </w:r>
      <w:r w:rsidRPr="00672C19">
        <w:rPr>
          <w:rFonts w:ascii="Arial" w:hAnsi="Arial" w:cs="Arial"/>
          <w:sz w:val="24"/>
        </w:rPr>
        <w:t>has</w:t>
      </w:r>
      <w:r w:rsidRPr="00672C19">
        <w:rPr>
          <w:rFonts w:ascii="Arial" w:hAnsi="Arial" w:cs="Arial"/>
          <w:spacing w:val="-13"/>
          <w:sz w:val="24"/>
        </w:rPr>
        <w:t xml:space="preserve"> </w:t>
      </w:r>
      <w:r w:rsidRPr="00672C19">
        <w:rPr>
          <w:rFonts w:ascii="Arial" w:hAnsi="Arial" w:cs="Arial"/>
          <w:sz w:val="24"/>
        </w:rPr>
        <w:t>not</w:t>
      </w:r>
      <w:r w:rsidRPr="00672C19">
        <w:rPr>
          <w:rFonts w:ascii="Arial" w:hAnsi="Arial" w:cs="Arial"/>
          <w:spacing w:val="-14"/>
          <w:sz w:val="24"/>
        </w:rPr>
        <w:t xml:space="preserve"> </w:t>
      </w:r>
      <w:r w:rsidRPr="00672C19">
        <w:rPr>
          <w:rFonts w:ascii="Arial" w:hAnsi="Arial" w:cs="Arial"/>
          <w:sz w:val="24"/>
        </w:rPr>
        <w:t>provided</w:t>
      </w:r>
      <w:r w:rsidRPr="00672C19">
        <w:rPr>
          <w:rFonts w:ascii="Arial" w:hAnsi="Arial" w:cs="Arial"/>
          <w:spacing w:val="-13"/>
          <w:sz w:val="24"/>
        </w:rPr>
        <w:t xml:space="preserve"> </w:t>
      </w:r>
      <w:r w:rsidRPr="00672C19">
        <w:rPr>
          <w:rFonts w:ascii="Arial" w:hAnsi="Arial" w:cs="Arial"/>
          <w:sz w:val="24"/>
        </w:rPr>
        <w:t>any</w:t>
      </w:r>
      <w:r w:rsidRPr="00672C19">
        <w:rPr>
          <w:rFonts w:ascii="Arial" w:hAnsi="Arial" w:cs="Arial"/>
          <w:spacing w:val="-10"/>
          <w:sz w:val="24"/>
        </w:rPr>
        <w:t xml:space="preserve"> </w:t>
      </w:r>
      <w:r w:rsidRPr="00672C19">
        <w:rPr>
          <w:rFonts w:ascii="Arial" w:hAnsi="Arial" w:cs="Arial"/>
          <w:sz w:val="24"/>
        </w:rPr>
        <w:t>benefit calculation.</w:t>
      </w:r>
      <w:r w:rsidRPr="00672C19">
        <w:rPr>
          <w:rFonts w:ascii="Arial" w:hAnsi="Arial" w:cs="Arial"/>
          <w:spacing w:val="-19"/>
          <w:sz w:val="24"/>
        </w:rPr>
        <w:t xml:space="preserve"> </w:t>
      </w:r>
      <w:r w:rsidRPr="00672C19">
        <w:rPr>
          <w:rFonts w:ascii="Arial" w:hAnsi="Arial" w:cs="Arial"/>
          <w:sz w:val="24"/>
        </w:rPr>
        <w:t>The</w:t>
      </w:r>
      <w:r w:rsidRPr="00672C19">
        <w:rPr>
          <w:rFonts w:ascii="Arial" w:hAnsi="Arial" w:cs="Arial"/>
          <w:spacing w:val="-23"/>
          <w:sz w:val="24"/>
        </w:rPr>
        <w:t xml:space="preserve"> </w:t>
      </w:r>
      <w:r w:rsidRPr="00672C19">
        <w:rPr>
          <w:rFonts w:ascii="Arial" w:hAnsi="Arial" w:cs="Arial"/>
          <w:sz w:val="24"/>
        </w:rPr>
        <w:t>Application’s</w:t>
      </w:r>
      <w:r w:rsidRPr="00672C19">
        <w:rPr>
          <w:rFonts w:ascii="Arial" w:hAnsi="Arial" w:cs="Arial"/>
          <w:spacing w:val="-14"/>
          <w:sz w:val="24"/>
        </w:rPr>
        <w:t xml:space="preserve"> </w:t>
      </w:r>
      <w:r w:rsidRPr="00672C19">
        <w:rPr>
          <w:rFonts w:ascii="Arial" w:hAnsi="Arial" w:cs="Arial"/>
          <w:sz w:val="24"/>
        </w:rPr>
        <w:t>suggestion</w:t>
      </w:r>
      <w:r w:rsidRPr="00672C19">
        <w:rPr>
          <w:rFonts w:ascii="Arial" w:hAnsi="Arial" w:cs="Arial"/>
          <w:spacing w:val="-13"/>
          <w:sz w:val="24"/>
        </w:rPr>
        <w:t xml:space="preserve"> </w:t>
      </w:r>
      <w:r w:rsidRPr="00672C19">
        <w:rPr>
          <w:rFonts w:ascii="Arial" w:hAnsi="Arial" w:cs="Arial"/>
          <w:sz w:val="24"/>
        </w:rPr>
        <w:t>of</w:t>
      </w:r>
      <w:r w:rsidRPr="00672C19">
        <w:rPr>
          <w:rFonts w:ascii="Arial" w:hAnsi="Arial" w:cs="Arial"/>
          <w:spacing w:val="-15"/>
          <w:sz w:val="24"/>
        </w:rPr>
        <w:t xml:space="preserve"> </w:t>
      </w:r>
      <w:r w:rsidRPr="00672C19">
        <w:rPr>
          <w:rFonts w:ascii="Arial" w:hAnsi="Arial" w:cs="Arial"/>
          <w:sz w:val="24"/>
        </w:rPr>
        <w:t>using</w:t>
      </w:r>
      <w:r w:rsidRPr="00672C19">
        <w:rPr>
          <w:rFonts w:ascii="Arial" w:hAnsi="Arial" w:cs="Arial"/>
          <w:spacing w:val="-17"/>
          <w:sz w:val="24"/>
        </w:rPr>
        <w:t xml:space="preserve"> </w:t>
      </w:r>
      <w:r w:rsidRPr="00672C19">
        <w:rPr>
          <w:rFonts w:ascii="Arial" w:hAnsi="Arial" w:cs="Arial"/>
          <w:sz w:val="24"/>
        </w:rPr>
        <w:t>an</w:t>
      </w:r>
      <w:r w:rsidRPr="00672C19">
        <w:rPr>
          <w:rFonts w:ascii="Arial" w:hAnsi="Arial" w:cs="Arial"/>
          <w:spacing w:val="-14"/>
          <w:sz w:val="24"/>
        </w:rPr>
        <w:t xml:space="preserve"> </w:t>
      </w:r>
      <w:r w:rsidRPr="00672C19">
        <w:rPr>
          <w:rFonts w:ascii="Arial" w:hAnsi="Arial" w:cs="Arial"/>
          <w:sz w:val="24"/>
        </w:rPr>
        <w:t>out-</w:t>
      </w:r>
      <w:r w:rsidRPr="00672C19">
        <w:rPr>
          <w:rFonts w:ascii="Arial" w:hAnsi="Arial" w:cs="Arial"/>
          <w:sz w:val="24"/>
        </w:rPr>
        <w:lastRenderedPageBreak/>
        <w:t>of-country</w:t>
      </w:r>
      <w:r w:rsidRPr="00672C19">
        <w:rPr>
          <w:rFonts w:ascii="Arial" w:hAnsi="Arial" w:cs="Arial"/>
          <w:spacing w:val="-13"/>
          <w:sz w:val="24"/>
        </w:rPr>
        <w:t xml:space="preserve"> </w:t>
      </w:r>
      <w:r w:rsidRPr="00672C19">
        <w:rPr>
          <w:rFonts w:ascii="Arial" w:hAnsi="Arial" w:cs="Arial"/>
          <w:sz w:val="24"/>
        </w:rPr>
        <w:t>benchmark</w:t>
      </w:r>
      <w:r w:rsidRPr="00672C19">
        <w:rPr>
          <w:rFonts w:ascii="Arial" w:hAnsi="Arial" w:cs="Arial"/>
          <w:spacing w:val="-14"/>
          <w:sz w:val="24"/>
        </w:rPr>
        <w:t xml:space="preserve"> </w:t>
      </w:r>
      <w:r w:rsidRPr="00672C19">
        <w:rPr>
          <w:rFonts w:ascii="Arial" w:hAnsi="Arial" w:cs="Arial"/>
          <w:sz w:val="24"/>
        </w:rPr>
        <w:t>to</w:t>
      </w:r>
      <w:r w:rsidRPr="00672C19">
        <w:rPr>
          <w:rFonts w:ascii="Arial" w:hAnsi="Arial" w:cs="Arial"/>
          <w:spacing w:val="-13"/>
          <w:sz w:val="24"/>
        </w:rPr>
        <w:t xml:space="preserve"> </w:t>
      </w:r>
      <w:r w:rsidRPr="00672C19">
        <w:rPr>
          <w:rFonts w:ascii="Arial" w:hAnsi="Arial" w:cs="Arial"/>
          <w:sz w:val="24"/>
        </w:rPr>
        <w:t>establish</w:t>
      </w:r>
      <w:r w:rsidRPr="00672C19">
        <w:rPr>
          <w:rFonts w:ascii="Arial" w:hAnsi="Arial" w:cs="Arial"/>
          <w:spacing w:val="-14"/>
          <w:sz w:val="24"/>
        </w:rPr>
        <w:t xml:space="preserve"> </w:t>
      </w:r>
      <w:r w:rsidRPr="00672C19">
        <w:rPr>
          <w:rFonts w:ascii="Arial" w:hAnsi="Arial" w:cs="Arial"/>
          <w:sz w:val="24"/>
        </w:rPr>
        <w:t>the benefit</w:t>
      </w:r>
      <w:r w:rsidRPr="00672C19">
        <w:rPr>
          <w:rFonts w:ascii="Arial" w:hAnsi="Arial" w:cs="Arial"/>
          <w:spacing w:val="-5"/>
          <w:sz w:val="24"/>
        </w:rPr>
        <w:t xml:space="preserve"> </w:t>
      </w:r>
      <w:r w:rsidRPr="00672C19">
        <w:rPr>
          <w:rFonts w:ascii="Arial" w:hAnsi="Arial" w:cs="Arial"/>
          <w:sz w:val="24"/>
        </w:rPr>
        <w:t>is</w:t>
      </w:r>
      <w:r w:rsidRPr="00672C19">
        <w:rPr>
          <w:rFonts w:ascii="Arial" w:hAnsi="Arial" w:cs="Arial"/>
          <w:spacing w:val="-3"/>
          <w:sz w:val="24"/>
        </w:rPr>
        <w:t xml:space="preserve"> </w:t>
      </w:r>
      <w:r w:rsidRPr="00672C19">
        <w:rPr>
          <w:rFonts w:ascii="Arial" w:hAnsi="Arial" w:cs="Arial"/>
          <w:sz w:val="24"/>
        </w:rPr>
        <w:t>furthermore</w:t>
      </w:r>
      <w:r w:rsidRPr="00672C19">
        <w:rPr>
          <w:rFonts w:ascii="Arial" w:hAnsi="Arial" w:cs="Arial"/>
          <w:spacing w:val="-6"/>
          <w:sz w:val="24"/>
        </w:rPr>
        <w:t xml:space="preserve"> </w:t>
      </w:r>
      <w:r w:rsidRPr="00672C19">
        <w:rPr>
          <w:rFonts w:ascii="Arial" w:hAnsi="Arial" w:cs="Arial"/>
          <w:sz w:val="24"/>
        </w:rPr>
        <w:t>based</w:t>
      </w:r>
      <w:r w:rsidRPr="00672C19">
        <w:rPr>
          <w:rFonts w:ascii="Arial" w:hAnsi="Arial" w:cs="Arial"/>
          <w:spacing w:val="-4"/>
          <w:sz w:val="24"/>
        </w:rPr>
        <w:t xml:space="preserve"> </w:t>
      </w:r>
      <w:r w:rsidRPr="00672C19">
        <w:rPr>
          <w:rFonts w:ascii="Arial" w:hAnsi="Arial" w:cs="Arial"/>
          <w:sz w:val="24"/>
        </w:rPr>
        <w:t>on</w:t>
      </w:r>
      <w:r w:rsidRPr="00672C19">
        <w:rPr>
          <w:rFonts w:ascii="Arial" w:hAnsi="Arial" w:cs="Arial"/>
          <w:spacing w:val="-4"/>
          <w:sz w:val="24"/>
        </w:rPr>
        <w:t xml:space="preserve"> </w:t>
      </w:r>
      <w:r w:rsidRPr="00672C19">
        <w:rPr>
          <w:rFonts w:ascii="Arial" w:hAnsi="Arial" w:cs="Arial"/>
          <w:sz w:val="24"/>
        </w:rPr>
        <w:t>incoherent</w:t>
      </w:r>
      <w:r w:rsidRPr="00672C19">
        <w:rPr>
          <w:rFonts w:ascii="Arial" w:hAnsi="Arial" w:cs="Arial"/>
          <w:spacing w:val="-4"/>
          <w:sz w:val="24"/>
        </w:rPr>
        <w:t xml:space="preserve"> </w:t>
      </w:r>
      <w:r w:rsidRPr="00672C19">
        <w:rPr>
          <w:rFonts w:ascii="Arial" w:hAnsi="Arial" w:cs="Arial"/>
          <w:sz w:val="24"/>
        </w:rPr>
        <w:t>reasoning.</w:t>
      </w:r>
      <w:r w:rsidRPr="00672C19">
        <w:rPr>
          <w:rFonts w:ascii="Arial" w:hAnsi="Arial" w:cs="Arial"/>
          <w:spacing w:val="-4"/>
          <w:sz w:val="24"/>
        </w:rPr>
        <w:t xml:space="preserve"> </w:t>
      </w:r>
      <w:r w:rsidRPr="00672C19">
        <w:rPr>
          <w:rFonts w:ascii="Arial" w:hAnsi="Arial" w:cs="Arial"/>
          <w:sz w:val="24"/>
        </w:rPr>
        <w:t>On</w:t>
      </w:r>
      <w:r w:rsidRPr="00672C19">
        <w:rPr>
          <w:rFonts w:ascii="Arial" w:hAnsi="Arial" w:cs="Arial"/>
          <w:spacing w:val="-5"/>
          <w:sz w:val="24"/>
        </w:rPr>
        <w:t xml:space="preserve"> </w:t>
      </w:r>
      <w:r w:rsidRPr="00672C19">
        <w:rPr>
          <w:rFonts w:ascii="Arial" w:hAnsi="Arial" w:cs="Arial"/>
          <w:sz w:val="24"/>
        </w:rPr>
        <w:t>the</w:t>
      </w:r>
      <w:r w:rsidRPr="00672C19">
        <w:rPr>
          <w:rFonts w:ascii="Arial" w:hAnsi="Arial" w:cs="Arial"/>
          <w:spacing w:val="-4"/>
          <w:sz w:val="24"/>
        </w:rPr>
        <w:t xml:space="preserve"> </w:t>
      </w:r>
      <w:r w:rsidRPr="00672C19">
        <w:rPr>
          <w:rFonts w:ascii="Arial" w:hAnsi="Arial" w:cs="Arial"/>
          <w:sz w:val="24"/>
        </w:rPr>
        <w:t>one</w:t>
      </w:r>
      <w:r w:rsidRPr="00672C19">
        <w:rPr>
          <w:rFonts w:ascii="Arial" w:hAnsi="Arial" w:cs="Arial"/>
          <w:spacing w:val="-5"/>
          <w:sz w:val="24"/>
        </w:rPr>
        <w:t xml:space="preserve"> </w:t>
      </w:r>
      <w:r w:rsidRPr="00672C19">
        <w:rPr>
          <w:rFonts w:ascii="Arial" w:hAnsi="Arial" w:cs="Arial"/>
          <w:sz w:val="24"/>
        </w:rPr>
        <w:t>hand,</w:t>
      </w:r>
      <w:r w:rsidRPr="00672C19">
        <w:rPr>
          <w:rFonts w:ascii="Arial" w:hAnsi="Arial" w:cs="Arial"/>
          <w:spacing w:val="-5"/>
          <w:sz w:val="24"/>
        </w:rPr>
        <w:t xml:space="preserve"> </w:t>
      </w:r>
      <w:r w:rsidRPr="00672C19">
        <w:rPr>
          <w:rFonts w:ascii="Arial" w:hAnsi="Arial" w:cs="Arial"/>
          <w:sz w:val="24"/>
        </w:rPr>
        <w:t>the</w:t>
      </w:r>
      <w:r w:rsidRPr="00672C19">
        <w:rPr>
          <w:rFonts w:ascii="Arial" w:hAnsi="Arial" w:cs="Arial"/>
          <w:spacing w:val="-14"/>
          <w:sz w:val="24"/>
        </w:rPr>
        <w:t xml:space="preserve"> </w:t>
      </w:r>
      <w:r w:rsidRPr="00672C19">
        <w:rPr>
          <w:rFonts w:ascii="Arial" w:hAnsi="Arial" w:cs="Arial"/>
          <w:sz w:val="24"/>
        </w:rPr>
        <w:t>Applicant</w:t>
      </w:r>
      <w:r w:rsidRPr="00672C19">
        <w:rPr>
          <w:rFonts w:ascii="Arial" w:hAnsi="Arial" w:cs="Arial"/>
          <w:spacing w:val="-2"/>
          <w:sz w:val="24"/>
        </w:rPr>
        <w:t xml:space="preserve"> </w:t>
      </w:r>
      <w:r w:rsidRPr="00672C19">
        <w:rPr>
          <w:rFonts w:ascii="Arial" w:hAnsi="Arial" w:cs="Arial"/>
          <w:sz w:val="24"/>
        </w:rPr>
        <w:t>urges</w:t>
      </w:r>
      <w:r w:rsidRPr="00672C19">
        <w:rPr>
          <w:rFonts w:ascii="Arial" w:hAnsi="Arial" w:cs="Arial"/>
          <w:spacing w:val="-3"/>
          <w:sz w:val="24"/>
        </w:rPr>
        <w:t xml:space="preserve"> </w:t>
      </w:r>
      <w:r w:rsidRPr="00672C19">
        <w:rPr>
          <w:rFonts w:ascii="Arial" w:hAnsi="Arial" w:cs="Arial"/>
          <w:sz w:val="24"/>
        </w:rPr>
        <w:t>the TRA to use an external benchmark on the ground that there is allegedly no functioning land market</w:t>
      </w:r>
      <w:r w:rsidRPr="00672C19">
        <w:rPr>
          <w:rFonts w:ascii="Arial" w:hAnsi="Arial" w:cs="Arial"/>
          <w:spacing w:val="-9"/>
          <w:sz w:val="24"/>
        </w:rPr>
        <w:t xml:space="preserve"> </w:t>
      </w:r>
      <w:r w:rsidRPr="00672C19">
        <w:rPr>
          <w:rFonts w:ascii="Arial" w:hAnsi="Arial" w:cs="Arial"/>
          <w:sz w:val="24"/>
        </w:rPr>
        <w:t>in</w:t>
      </w:r>
      <w:r w:rsidRPr="00672C19">
        <w:rPr>
          <w:rFonts w:ascii="Arial" w:hAnsi="Arial" w:cs="Arial"/>
          <w:spacing w:val="-8"/>
          <w:sz w:val="24"/>
        </w:rPr>
        <w:t xml:space="preserve"> </w:t>
      </w:r>
      <w:r w:rsidRPr="00672C19">
        <w:rPr>
          <w:rFonts w:ascii="Arial" w:hAnsi="Arial" w:cs="Arial"/>
          <w:sz w:val="24"/>
        </w:rPr>
        <w:t>China,</w:t>
      </w:r>
      <w:r w:rsidRPr="00672C19">
        <w:rPr>
          <w:rFonts w:ascii="Arial" w:hAnsi="Arial" w:cs="Arial"/>
          <w:spacing w:val="-9"/>
          <w:sz w:val="24"/>
        </w:rPr>
        <w:t xml:space="preserve"> </w:t>
      </w:r>
      <w:r w:rsidRPr="00672C19">
        <w:rPr>
          <w:rFonts w:ascii="Arial" w:hAnsi="Arial" w:cs="Arial"/>
          <w:sz w:val="24"/>
        </w:rPr>
        <w:t>and</w:t>
      </w:r>
      <w:r w:rsidRPr="00672C19">
        <w:rPr>
          <w:rFonts w:ascii="Arial" w:hAnsi="Arial" w:cs="Arial"/>
          <w:spacing w:val="-9"/>
          <w:sz w:val="24"/>
        </w:rPr>
        <w:t xml:space="preserve"> </w:t>
      </w:r>
      <w:r w:rsidRPr="00672C19">
        <w:rPr>
          <w:rFonts w:ascii="Arial" w:hAnsi="Arial" w:cs="Arial"/>
          <w:sz w:val="24"/>
        </w:rPr>
        <w:t>on</w:t>
      </w:r>
      <w:r w:rsidRPr="00672C19">
        <w:rPr>
          <w:rFonts w:ascii="Arial" w:hAnsi="Arial" w:cs="Arial"/>
          <w:spacing w:val="-9"/>
          <w:sz w:val="24"/>
        </w:rPr>
        <w:t xml:space="preserve"> </w:t>
      </w:r>
      <w:r w:rsidRPr="00672C19">
        <w:rPr>
          <w:rFonts w:ascii="Arial" w:hAnsi="Arial" w:cs="Arial"/>
          <w:sz w:val="24"/>
        </w:rPr>
        <w:t>the</w:t>
      </w:r>
      <w:r w:rsidRPr="00672C19">
        <w:rPr>
          <w:rFonts w:ascii="Arial" w:hAnsi="Arial" w:cs="Arial"/>
          <w:spacing w:val="-11"/>
          <w:sz w:val="24"/>
        </w:rPr>
        <w:t xml:space="preserve"> </w:t>
      </w:r>
      <w:r w:rsidRPr="00672C19">
        <w:rPr>
          <w:rFonts w:ascii="Arial" w:hAnsi="Arial" w:cs="Arial"/>
          <w:sz w:val="24"/>
        </w:rPr>
        <w:t>other</w:t>
      </w:r>
      <w:r w:rsidRPr="00672C19">
        <w:rPr>
          <w:rFonts w:ascii="Arial" w:hAnsi="Arial" w:cs="Arial"/>
          <w:spacing w:val="-10"/>
          <w:sz w:val="24"/>
        </w:rPr>
        <w:t xml:space="preserve"> </w:t>
      </w:r>
      <w:r w:rsidRPr="00672C19">
        <w:rPr>
          <w:rFonts w:ascii="Arial" w:hAnsi="Arial" w:cs="Arial"/>
          <w:sz w:val="24"/>
        </w:rPr>
        <w:t>hand,</w:t>
      </w:r>
      <w:r w:rsidRPr="00672C19">
        <w:rPr>
          <w:rFonts w:ascii="Arial" w:hAnsi="Arial" w:cs="Arial"/>
          <w:spacing w:val="-7"/>
          <w:sz w:val="24"/>
        </w:rPr>
        <w:t xml:space="preserve"> </w:t>
      </w:r>
      <w:r w:rsidRPr="00672C19">
        <w:rPr>
          <w:rFonts w:ascii="Arial" w:hAnsi="Arial" w:cs="Arial"/>
          <w:sz w:val="24"/>
        </w:rPr>
        <w:t>it</w:t>
      </w:r>
      <w:r w:rsidRPr="00672C19">
        <w:rPr>
          <w:rFonts w:ascii="Arial" w:hAnsi="Arial" w:cs="Arial"/>
          <w:spacing w:val="-8"/>
          <w:sz w:val="24"/>
        </w:rPr>
        <w:t xml:space="preserve"> </w:t>
      </w:r>
      <w:r w:rsidRPr="00672C19">
        <w:rPr>
          <w:rFonts w:ascii="Arial" w:hAnsi="Arial" w:cs="Arial"/>
          <w:sz w:val="24"/>
        </w:rPr>
        <w:t>claims</w:t>
      </w:r>
      <w:r w:rsidRPr="00672C19">
        <w:rPr>
          <w:rFonts w:ascii="Arial" w:hAnsi="Arial" w:cs="Arial"/>
          <w:spacing w:val="-8"/>
          <w:sz w:val="24"/>
        </w:rPr>
        <w:t xml:space="preserve"> </w:t>
      </w:r>
      <w:r w:rsidRPr="00672C19">
        <w:rPr>
          <w:rFonts w:ascii="Arial" w:hAnsi="Arial" w:cs="Arial"/>
          <w:sz w:val="24"/>
        </w:rPr>
        <w:t>that</w:t>
      </w:r>
      <w:r w:rsidRPr="00672C19">
        <w:rPr>
          <w:rFonts w:ascii="Arial" w:hAnsi="Arial" w:cs="Arial"/>
          <w:spacing w:val="-9"/>
          <w:sz w:val="24"/>
        </w:rPr>
        <w:t xml:space="preserve"> </w:t>
      </w:r>
      <w:r w:rsidRPr="00672C19">
        <w:rPr>
          <w:rFonts w:ascii="Arial" w:hAnsi="Arial" w:cs="Arial"/>
          <w:sz w:val="24"/>
        </w:rPr>
        <w:t>the</w:t>
      </w:r>
      <w:r w:rsidRPr="00672C19">
        <w:rPr>
          <w:rFonts w:ascii="Arial" w:hAnsi="Arial" w:cs="Arial"/>
          <w:spacing w:val="-8"/>
          <w:sz w:val="24"/>
        </w:rPr>
        <w:t xml:space="preserve"> </w:t>
      </w:r>
      <w:r w:rsidRPr="00672C19">
        <w:rPr>
          <w:rFonts w:ascii="Arial" w:hAnsi="Arial" w:cs="Arial"/>
          <w:sz w:val="24"/>
        </w:rPr>
        <w:t>supposed</w:t>
      </w:r>
      <w:r w:rsidRPr="00672C19">
        <w:rPr>
          <w:rFonts w:ascii="Arial" w:hAnsi="Arial" w:cs="Arial"/>
          <w:spacing w:val="-9"/>
          <w:sz w:val="24"/>
        </w:rPr>
        <w:t xml:space="preserve"> </w:t>
      </w:r>
      <w:r w:rsidRPr="00672C19">
        <w:rPr>
          <w:rFonts w:ascii="Arial" w:hAnsi="Arial" w:cs="Arial"/>
          <w:sz w:val="24"/>
        </w:rPr>
        <w:t>subsidy</w:t>
      </w:r>
      <w:r w:rsidRPr="00672C19">
        <w:rPr>
          <w:rFonts w:ascii="Arial" w:hAnsi="Arial" w:cs="Arial"/>
          <w:spacing w:val="-6"/>
          <w:sz w:val="24"/>
        </w:rPr>
        <w:t xml:space="preserve"> </w:t>
      </w:r>
      <w:r w:rsidRPr="00672C19">
        <w:rPr>
          <w:rFonts w:ascii="Arial" w:hAnsi="Arial" w:cs="Arial"/>
          <w:sz w:val="24"/>
        </w:rPr>
        <w:t>is</w:t>
      </w:r>
      <w:r w:rsidRPr="00672C19">
        <w:rPr>
          <w:rFonts w:ascii="Arial" w:hAnsi="Arial" w:cs="Arial"/>
          <w:spacing w:val="-8"/>
          <w:sz w:val="24"/>
        </w:rPr>
        <w:t xml:space="preserve"> </w:t>
      </w:r>
      <w:r w:rsidRPr="00672C19">
        <w:rPr>
          <w:rFonts w:ascii="Arial" w:hAnsi="Arial" w:cs="Arial"/>
          <w:sz w:val="24"/>
        </w:rPr>
        <w:t>specific</w:t>
      </w:r>
      <w:r w:rsidRPr="00672C19">
        <w:rPr>
          <w:rFonts w:ascii="Arial" w:hAnsi="Arial" w:cs="Arial"/>
          <w:spacing w:val="-9"/>
          <w:sz w:val="24"/>
        </w:rPr>
        <w:t xml:space="preserve"> </w:t>
      </w:r>
      <w:r w:rsidRPr="00672C19">
        <w:rPr>
          <w:rFonts w:ascii="Arial" w:hAnsi="Arial" w:cs="Arial"/>
          <w:sz w:val="24"/>
        </w:rPr>
        <w:t>to</w:t>
      </w:r>
      <w:r w:rsidRPr="00672C19">
        <w:rPr>
          <w:rFonts w:ascii="Arial" w:hAnsi="Arial" w:cs="Arial"/>
          <w:spacing w:val="-10"/>
          <w:sz w:val="24"/>
        </w:rPr>
        <w:t xml:space="preserve"> </w:t>
      </w:r>
      <w:r w:rsidRPr="00672C19">
        <w:rPr>
          <w:rFonts w:ascii="Arial" w:hAnsi="Arial" w:cs="Arial"/>
          <w:sz w:val="24"/>
        </w:rPr>
        <w:t xml:space="preserve">certain industries including </w:t>
      </w:r>
      <w:r>
        <w:rPr>
          <w:rFonts w:ascii="Arial" w:hAnsi="Arial" w:cs="Arial" w:hint="eastAsia"/>
          <w:sz w:val="24"/>
        </w:rPr>
        <w:t>Excavator</w:t>
      </w:r>
      <w:r w:rsidRPr="00672C19">
        <w:rPr>
          <w:rFonts w:ascii="Arial" w:hAnsi="Arial" w:cs="Arial"/>
          <w:sz w:val="24"/>
        </w:rPr>
        <w:t xml:space="preserve">. If the Applicant’s reasoning were to be followed, then only certain industries get LURs at </w:t>
      </w:r>
      <w:r w:rsidRPr="00672C19">
        <w:rPr>
          <w:rFonts w:ascii="Arial" w:hAnsi="Arial" w:cs="Arial"/>
          <w:spacing w:val="-11"/>
          <w:sz w:val="24"/>
        </w:rPr>
        <w:t xml:space="preserve">LTAR </w:t>
      </w:r>
      <w:r w:rsidRPr="00672C19">
        <w:rPr>
          <w:rFonts w:ascii="Arial" w:hAnsi="Arial" w:cs="Arial"/>
          <w:sz w:val="24"/>
        </w:rPr>
        <w:t>whereas this is not the case for companies from other sectors or industries. The TRA should, therefore, use the LUR prices of companies from other sectors to assess the existence of the alleged</w:t>
      </w:r>
      <w:r w:rsidRPr="00672C19">
        <w:rPr>
          <w:rFonts w:ascii="Arial" w:hAnsi="Arial" w:cs="Arial"/>
          <w:spacing w:val="-4"/>
          <w:sz w:val="24"/>
        </w:rPr>
        <w:t xml:space="preserve"> </w:t>
      </w:r>
      <w:r w:rsidRPr="00672C19">
        <w:rPr>
          <w:rFonts w:ascii="Arial" w:hAnsi="Arial" w:cs="Arial"/>
          <w:spacing w:val="-3"/>
          <w:sz w:val="24"/>
        </w:rPr>
        <w:t>subsidy.</w:t>
      </w:r>
    </w:p>
    <w:p w14:paraId="3FCED7B7" w14:textId="77777777" w:rsidR="00672C19" w:rsidRPr="00B45993" w:rsidRDefault="00672C19" w:rsidP="00B45993">
      <w:pPr>
        <w:pStyle w:val="a7"/>
        <w:tabs>
          <w:tab w:val="clear" w:pos="720"/>
          <w:tab w:val="num" w:pos="0"/>
        </w:tabs>
        <w:spacing w:before="10"/>
        <w:ind w:right="95"/>
        <w:rPr>
          <w:rFonts w:ascii="Arial" w:hAnsi="Arial" w:cs="Arial"/>
          <w:sz w:val="20"/>
        </w:rPr>
      </w:pPr>
    </w:p>
    <w:p w14:paraId="24F78AB9" w14:textId="25C6A615" w:rsidR="00672C19" w:rsidRDefault="00672C19" w:rsidP="001F79D9">
      <w:pPr>
        <w:pStyle w:val="a9"/>
        <w:numPr>
          <w:ilvl w:val="0"/>
          <w:numId w:val="39"/>
        </w:numPr>
        <w:spacing w:before="100"/>
        <w:ind w:right="95" w:hanging="644"/>
        <w:rPr>
          <w:rFonts w:ascii="Arial" w:hAnsi="Arial" w:cs="Arial"/>
          <w:sz w:val="24"/>
        </w:rPr>
      </w:pPr>
      <w:r w:rsidRPr="00B45993">
        <w:rPr>
          <w:rFonts w:ascii="Arial" w:hAnsi="Arial" w:cs="Arial"/>
          <w:sz w:val="24"/>
        </w:rPr>
        <w:t>Additionally,</w:t>
      </w:r>
      <w:r w:rsidRPr="00B45993">
        <w:rPr>
          <w:rFonts w:ascii="Arial" w:hAnsi="Arial" w:cs="Arial"/>
          <w:spacing w:val="-6"/>
          <w:sz w:val="24"/>
        </w:rPr>
        <w:t xml:space="preserve"> </w:t>
      </w:r>
      <w:r w:rsidRPr="00B45993">
        <w:rPr>
          <w:rFonts w:ascii="Arial" w:hAnsi="Arial" w:cs="Arial"/>
          <w:sz w:val="24"/>
        </w:rPr>
        <w:t>as</w:t>
      </w:r>
      <w:r w:rsidRPr="00B45993">
        <w:rPr>
          <w:rFonts w:ascii="Arial" w:hAnsi="Arial" w:cs="Arial"/>
          <w:spacing w:val="-5"/>
          <w:sz w:val="24"/>
        </w:rPr>
        <w:t xml:space="preserve"> </w:t>
      </w:r>
      <w:r w:rsidRPr="00B45993">
        <w:rPr>
          <w:rFonts w:ascii="Arial" w:hAnsi="Arial" w:cs="Arial"/>
          <w:sz w:val="24"/>
        </w:rPr>
        <w:t>noted</w:t>
      </w:r>
      <w:r w:rsidRPr="00B45993">
        <w:rPr>
          <w:rFonts w:ascii="Arial" w:hAnsi="Arial" w:cs="Arial"/>
          <w:spacing w:val="-5"/>
          <w:sz w:val="24"/>
        </w:rPr>
        <w:t xml:space="preserve"> </w:t>
      </w:r>
      <w:r w:rsidRPr="00B45993">
        <w:rPr>
          <w:rFonts w:ascii="Arial" w:hAnsi="Arial" w:cs="Arial"/>
          <w:sz w:val="24"/>
        </w:rPr>
        <w:t>by</w:t>
      </w:r>
      <w:r w:rsidRPr="00B45993">
        <w:rPr>
          <w:rFonts w:ascii="Arial" w:hAnsi="Arial" w:cs="Arial"/>
          <w:spacing w:val="-8"/>
          <w:sz w:val="24"/>
        </w:rPr>
        <w:t xml:space="preserve"> </w:t>
      </w:r>
      <w:r w:rsidRPr="00B45993">
        <w:rPr>
          <w:rFonts w:ascii="Arial" w:hAnsi="Arial" w:cs="Arial"/>
          <w:sz w:val="24"/>
        </w:rPr>
        <w:t>the</w:t>
      </w:r>
      <w:r w:rsidRPr="00B45993">
        <w:rPr>
          <w:rFonts w:ascii="Arial" w:hAnsi="Arial" w:cs="Arial"/>
          <w:spacing w:val="-17"/>
          <w:sz w:val="24"/>
        </w:rPr>
        <w:t xml:space="preserve"> </w:t>
      </w:r>
      <w:r w:rsidRPr="00B45993">
        <w:rPr>
          <w:rFonts w:ascii="Arial" w:hAnsi="Arial" w:cs="Arial"/>
          <w:sz w:val="24"/>
        </w:rPr>
        <w:t>Appellate</w:t>
      </w:r>
      <w:r w:rsidRPr="00B45993">
        <w:rPr>
          <w:rFonts w:ascii="Arial" w:hAnsi="Arial" w:cs="Arial"/>
          <w:spacing w:val="-6"/>
          <w:sz w:val="24"/>
        </w:rPr>
        <w:t xml:space="preserve"> </w:t>
      </w:r>
      <w:r w:rsidRPr="00B45993">
        <w:rPr>
          <w:rFonts w:ascii="Arial" w:hAnsi="Arial" w:cs="Arial"/>
          <w:sz w:val="24"/>
        </w:rPr>
        <w:t>Body</w:t>
      </w:r>
      <w:r w:rsidRPr="00B45993">
        <w:rPr>
          <w:rFonts w:ascii="Arial" w:hAnsi="Arial" w:cs="Arial"/>
          <w:spacing w:val="-4"/>
          <w:sz w:val="24"/>
        </w:rPr>
        <w:t xml:space="preserve"> </w:t>
      </w:r>
      <w:r w:rsidRPr="00B45993">
        <w:rPr>
          <w:rFonts w:ascii="Arial" w:hAnsi="Arial" w:cs="Arial"/>
          <w:sz w:val="24"/>
        </w:rPr>
        <w:t>in</w:t>
      </w:r>
      <w:r w:rsidRPr="00B45993">
        <w:rPr>
          <w:rFonts w:ascii="Arial" w:hAnsi="Arial" w:cs="Arial"/>
          <w:spacing w:val="-4"/>
          <w:sz w:val="24"/>
        </w:rPr>
        <w:t xml:space="preserve"> </w:t>
      </w:r>
      <w:r w:rsidRPr="00B45993">
        <w:rPr>
          <w:rFonts w:ascii="Arial" w:hAnsi="Arial" w:cs="Arial"/>
          <w:i/>
          <w:sz w:val="24"/>
        </w:rPr>
        <w:t>US</w:t>
      </w:r>
      <w:r w:rsidRPr="00B45993">
        <w:rPr>
          <w:rFonts w:ascii="Arial" w:hAnsi="Arial" w:cs="Arial"/>
          <w:i/>
          <w:spacing w:val="-5"/>
          <w:sz w:val="24"/>
        </w:rPr>
        <w:t xml:space="preserve"> </w:t>
      </w:r>
      <w:r w:rsidRPr="00B45993">
        <w:rPr>
          <w:rFonts w:ascii="Arial" w:hAnsi="Arial" w:cs="Arial"/>
          <w:i/>
          <w:sz w:val="24"/>
        </w:rPr>
        <w:t>–</w:t>
      </w:r>
      <w:r w:rsidRPr="00B45993">
        <w:rPr>
          <w:rFonts w:ascii="Arial" w:hAnsi="Arial" w:cs="Arial"/>
          <w:i/>
          <w:spacing w:val="-5"/>
          <w:sz w:val="24"/>
        </w:rPr>
        <w:t xml:space="preserve"> </w:t>
      </w:r>
      <w:r w:rsidRPr="00B45993">
        <w:rPr>
          <w:rFonts w:ascii="Arial" w:hAnsi="Arial" w:cs="Arial"/>
          <w:i/>
          <w:sz w:val="24"/>
        </w:rPr>
        <w:t>Carbon</w:t>
      </w:r>
      <w:r w:rsidRPr="00B45993">
        <w:rPr>
          <w:rFonts w:ascii="Arial" w:hAnsi="Arial" w:cs="Arial"/>
          <w:i/>
          <w:spacing w:val="-5"/>
          <w:sz w:val="24"/>
        </w:rPr>
        <w:t xml:space="preserve"> </w:t>
      </w:r>
      <w:r w:rsidRPr="00B45993">
        <w:rPr>
          <w:rFonts w:ascii="Arial" w:hAnsi="Arial" w:cs="Arial"/>
          <w:i/>
          <w:sz w:val="24"/>
        </w:rPr>
        <w:t>Steel</w:t>
      </w:r>
      <w:r w:rsidRPr="00B45993">
        <w:rPr>
          <w:rFonts w:ascii="Arial" w:hAnsi="Arial" w:cs="Arial"/>
          <w:i/>
          <w:spacing w:val="-5"/>
          <w:sz w:val="24"/>
        </w:rPr>
        <w:t xml:space="preserve"> </w:t>
      </w:r>
      <w:r w:rsidRPr="00B45993">
        <w:rPr>
          <w:rFonts w:ascii="Arial" w:hAnsi="Arial" w:cs="Arial"/>
          <w:i/>
          <w:sz w:val="24"/>
        </w:rPr>
        <w:t>(India)</w:t>
      </w:r>
      <w:r w:rsidRPr="00B45993">
        <w:rPr>
          <w:rFonts w:ascii="Arial" w:hAnsi="Arial" w:cs="Arial"/>
          <w:sz w:val="24"/>
        </w:rPr>
        <w:t>,</w:t>
      </w:r>
      <w:r w:rsidRPr="00B45993">
        <w:rPr>
          <w:rFonts w:ascii="Arial" w:hAnsi="Arial" w:cs="Arial"/>
          <w:spacing w:val="-16"/>
          <w:sz w:val="24"/>
        </w:rPr>
        <w:t xml:space="preserve"> </w:t>
      </w:r>
      <w:r w:rsidRPr="00B45993">
        <w:rPr>
          <w:rFonts w:ascii="Arial" w:hAnsi="Arial" w:cs="Arial"/>
          <w:sz w:val="24"/>
        </w:rPr>
        <w:t>Article</w:t>
      </w:r>
      <w:r w:rsidRPr="00B45993">
        <w:rPr>
          <w:rFonts w:ascii="Arial" w:hAnsi="Arial" w:cs="Arial"/>
          <w:spacing w:val="-6"/>
          <w:sz w:val="24"/>
        </w:rPr>
        <w:t xml:space="preserve"> </w:t>
      </w:r>
      <w:r w:rsidRPr="00B45993">
        <w:rPr>
          <w:rFonts w:ascii="Arial" w:hAnsi="Arial" w:cs="Arial"/>
          <w:sz w:val="24"/>
        </w:rPr>
        <w:t>14(d)</w:t>
      </w:r>
      <w:r w:rsidRPr="00B45993">
        <w:rPr>
          <w:rFonts w:ascii="Arial" w:hAnsi="Arial" w:cs="Arial"/>
          <w:spacing w:val="-6"/>
          <w:sz w:val="24"/>
        </w:rPr>
        <w:t xml:space="preserve"> </w:t>
      </w:r>
      <w:r w:rsidRPr="00B45993">
        <w:rPr>
          <w:rFonts w:ascii="Arial" w:hAnsi="Arial" w:cs="Arial"/>
          <w:sz w:val="24"/>
        </w:rPr>
        <w:t>of</w:t>
      </w:r>
      <w:r w:rsidRPr="00B45993">
        <w:rPr>
          <w:rFonts w:ascii="Arial" w:hAnsi="Arial" w:cs="Arial"/>
          <w:spacing w:val="-6"/>
          <w:sz w:val="24"/>
        </w:rPr>
        <w:t xml:space="preserve"> </w:t>
      </w:r>
      <w:r w:rsidRPr="00B45993">
        <w:rPr>
          <w:rFonts w:ascii="Arial" w:hAnsi="Arial" w:cs="Arial"/>
          <w:sz w:val="24"/>
        </w:rPr>
        <w:t>the SCM</w:t>
      </w:r>
      <w:r w:rsidRPr="00B45993">
        <w:rPr>
          <w:rFonts w:ascii="Arial" w:hAnsi="Arial" w:cs="Arial"/>
          <w:spacing w:val="5"/>
          <w:sz w:val="24"/>
        </w:rPr>
        <w:t xml:space="preserve"> </w:t>
      </w:r>
      <w:r w:rsidRPr="00B45993">
        <w:rPr>
          <w:rFonts w:ascii="Arial" w:hAnsi="Arial" w:cs="Arial"/>
          <w:sz w:val="24"/>
        </w:rPr>
        <w:t>Agreement</w:t>
      </w:r>
      <w:r w:rsidRPr="00B45993">
        <w:rPr>
          <w:rFonts w:ascii="Arial" w:hAnsi="Arial" w:cs="Arial"/>
          <w:spacing w:val="25"/>
          <w:sz w:val="24"/>
        </w:rPr>
        <w:t xml:space="preserve"> </w:t>
      </w:r>
      <w:r w:rsidRPr="00B45993">
        <w:rPr>
          <w:rFonts w:ascii="Arial" w:hAnsi="Arial" w:cs="Arial"/>
          <w:sz w:val="24"/>
        </w:rPr>
        <w:t>does</w:t>
      </w:r>
      <w:r w:rsidRPr="00B45993">
        <w:rPr>
          <w:rFonts w:ascii="Arial" w:hAnsi="Arial" w:cs="Arial"/>
          <w:spacing w:val="26"/>
          <w:sz w:val="24"/>
        </w:rPr>
        <w:t xml:space="preserve"> </w:t>
      </w:r>
      <w:r w:rsidRPr="00B45993">
        <w:rPr>
          <w:rFonts w:ascii="Arial" w:hAnsi="Arial" w:cs="Arial"/>
          <w:sz w:val="24"/>
        </w:rPr>
        <w:t>not</w:t>
      </w:r>
      <w:r w:rsidRPr="00B45993">
        <w:rPr>
          <w:rFonts w:ascii="Arial" w:hAnsi="Arial" w:cs="Arial"/>
          <w:spacing w:val="26"/>
          <w:sz w:val="24"/>
        </w:rPr>
        <w:t xml:space="preserve"> </w:t>
      </w:r>
      <w:r w:rsidRPr="00B45993">
        <w:rPr>
          <w:rFonts w:ascii="Arial" w:hAnsi="Arial" w:cs="Arial"/>
          <w:sz w:val="24"/>
        </w:rPr>
        <w:t>establish</w:t>
      </w:r>
      <w:r w:rsidRPr="00B45993">
        <w:rPr>
          <w:rFonts w:ascii="Arial" w:hAnsi="Arial" w:cs="Arial"/>
          <w:spacing w:val="26"/>
          <w:sz w:val="24"/>
        </w:rPr>
        <w:t xml:space="preserve"> </w:t>
      </w:r>
      <w:r w:rsidRPr="00B45993">
        <w:rPr>
          <w:rFonts w:ascii="Arial" w:hAnsi="Arial" w:cs="Arial"/>
          <w:sz w:val="24"/>
        </w:rPr>
        <w:t>any</w:t>
      </w:r>
      <w:r w:rsidRPr="00B45993">
        <w:rPr>
          <w:rFonts w:ascii="Arial" w:hAnsi="Arial" w:cs="Arial"/>
          <w:spacing w:val="25"/>
          <w:sz w:val="24"/>
        </w:rPr>
        <w:t xml:space="preserve"> </w:t>
      </w:r>
      <w:r w:rsidRPr="00B45993">
        <w:rPr>
          <w:rFonts w:ascii="Arial" w:hAnsi="Arial" w:cs="Arial"/>
          <w:sz w:val="24"/>
        </w:rPr>
        <w:t>“</w:t>
      </w:r>
      <w:r w:rsidRPr="00B45993">
        <w:rPr>
          <w:rFonts w:ascii="Arial" w:hAnsi="Arial" w:cs="Arial"/>
          <w:i/>
          <w:sz w:val="24"/>
        </w:rPr>
        <w:t>legal</w:t>
      </w:r>
      <w:r w:rsidRPr="00B45993">
        <w:rPr>
          <w:rFonts w:ascii="Arial" w:hAnsi="Arial" w:cs="Arial"/>
          <w:i/>
          <w:spacing w:val="26"/>
          <w:sz w:val="24"/>
        </w:rPr>
        <w:t xml:space="preserve"> </w:t>
      </w:r>
      <w:r w:rsidRPr="00B45993">
        <w:rPr>
          <w:rFonts w:ascii="Arial" w:hAnsi="Arial" w:cs="Arial"/>
          <w:i/>
          <w:sz w:val="24"/>
        </w:rPr>
        <w:t>presumption</w:t>
      </w:r>
      <w:r w:rsidRPr="00B45993">
        <w:rPr>
          <w:rFonts w:ascii="Arial" w:hAnsi="Arial" w:cs="Arial"/>
          <w:i/>
          <w:spacing w:val="25"/>
          <w:sz w:val="24"/>
        </w:rPr>
        <w:t xml:space="preserve"> </w:t>
      </w:r>
      <w:r w:rsidRPr="00B45993">
        <w:rPr>
          <w:rFonts w:ascii="Arial" w:hAnsi="Arial" w:cs="Arial"/>
          <w:i/>
          <w:sz w:val="24"/>
        </w:rPr>
        <w:t>that</w:t>
      </w:r>
      <w:r w:rsidRPr="00B45993">
        <w:rPr>
          <w:rFonts w:ascii="Arial" w:hAnsi="Arial" w:cs="Arial"/>
          <w:i/>
          <w:spacing w:val="27"/>
          <w:sz w:val="24"/>
        </w:rPr>
        <w:t xml:space="preserve"> </w:t>
      </w:r>
      <w:r w:rsidRPr="00B45993">
        <w:rPr>
          <w:rFonts w:ascii="Arial" w:hAnsi="Arial" w:cs="Arial"/>
          <w:i/>
          <w:sz w:val="24"/>
        </w:rPr>
        <w:t>in-country</w:t>
      </w:r>
      <w:r w:rsidRPr="00B45993">
        <w:rPr>
          <w:rFonts w:ascii="Arial" w:hAnsi="Arial" w:cs="Arial"/>
          <w:i/>
          <w:spacing w:val="24"/>
          <w:sz w:val="24"/>
        </w:rPr>
        <w:t xml:space="preserve"> </w:t>
      </w:r>
      <w:r w:rsidRPr="00B45993">
        <w:rPr>
          <w:rFonts w:ascii="Arial" w:hAnsi="Arial" w:cs="Arial"/>
          <w:i/>
          <w:sz w:val="24"/>
        </w:rPr>
        <w:t>prices</w:t>
      </w:r>
      <w:r w:rsidRPr="00B45993">
        <w:rPr>
          <w:rFonts w:ascii="Arial" w:hAnsi="Arial" w:cs="Arial"/>
          <w:i/>
          <w:spacing w:val="26"/>
          <w:sz w:val="24"/>
        </w:rPr>
        <w:t xml:space="preserve"> </w:t>
      </w:r>
      <w:r w:rsidRPr="00B45993">
        <w:rPr>
          <w:rFonts w:ascii="Arial" w:hAnsi="Arial" w:cs="Arial"/>
          <w:i/>
          <w:spacing w:val="-3"/>
          <w:sz w:val="24"/>
        </w:rPr>
        <w:t>from</w:t>
      </w:r>
      <w:r w:rsidRPr="00B45993">
        <w:rPr>
          <w:rFonts w:ascii="Arial" w:hAnsi="Arial" w:cs="Arial"/>
          <w:i/>
          <w:spacing w:val="25"/>
          <w:sz w:val="24"/>
        </w:rPr>
        <w:t xml:space="preserve"> </w:t>
      </w:r>
      <w:r w:rsidRPr="00B45993">
        <w:rPr>
          <w:rFonts w:ascii="Arial" w:hAnsi="Arial" w:cs="Arial"/>
          <w:i/>
          <w:sz w:val="24"/>
        </w:rPr>
        <w:t xml:space="preserve">any particular </w:t>
      </w:r>
      <w:r w:rsidRPr="00B45993">
        <w:rPr>
          <w:rFonts w:ascii="Arial" w:hAnsi="Arial" w:cs="Arial"/>
          <w:i/>
          <w:spacing w:val="-3"/>
          <w:sz w:val="24"/>
        </w:rPr>
        <w:t xml:space="preserve">source </w:t>
      </w:r>
      <w:r w:rsidRPr="00B45993">
        <w:rPr>
          <w:rFonts w:ascii="Arial" w:hAnsi="Arial" w:cs="Arial"/>
          <w:i/>
          <w:sz w:val="24"/>
        </w:rPr>
        <w:t>can be discarded in a benchmark analysis</w:t>
      </w:r>
      <w:r w:rsidRPr="00B45993">
        <w:rPr>
          <w:rFonts w:ascii="Arial" w:hAnsi="Arial" w:cs="Arial"/>
          <w:sz w:val="24"/>
        </w:rPr>
        <w:t>”</w:t>
      </w:r>
      <w:r w:rsidR="00B45993">
        <w:rPr>
          <w:rStyle w:val="ab"/>
          <w:rFonts w:ascii="Arial" w:hAnsi="Arial" w:cs="Arial"/>
          <w:sz w:val="24"/>
        </w:rPr>
        <w:footnoteReference w:id="41"/>
      </w:r>
      <w:r w:rsidRPr="00B45993">
        <w:rPr>
          <w:rFonts w:ascii="Arial" w:hAnsi="Arial" w:cs="Arial"/>
          <w:sz w:val="24"/>
        </w:rPr>
        <w:t xml:space="preserve"> and “</w:t>
      </w:r>
      <w:r w:rsidRPr="00B45993">
        <w:rPr>
          <w:rFonts w:ascii="Arial" w:hAnsi="Arial" w:cs="Arial"/>
          <w:i/>
          <w:sz w:val="24"/>
        </w:rPr>
        <w:t>a determination of a benchmark</w:t>
      </w:r>
      <w:r w:rsidRPr="00B45993">
        <w:rPr>
          <w:rFonts w:ascii="Arial" w:hAnsi="Arial" w:cs="Arial"/>
          <w:i/>
          <w:spacing w:val="-5"/>
          <w:sz w:val="24"/>
        </w:rPr>
        <w:t xml:space="preserve"> </w:t>
      </w:r>
      <w:r w:rsidRPr="00B45993">
        <w:rPr>
          <w:rFonts w:ascii="Arial" w:hAnsi="Arial" w:cs="Arial"/>
          <w:i/>
          <w:sz w:val="24"/>
        </w:rPr>
        <w:t>for</w:t>
      </w:r>
      <w:r w:rsidRPr="00B45993">
        <w:rPr>
          <w:rFonts w:ascii="Arial" w:hAnsi="Arial" w:cs="Arial"/>
          <w:i/>
          <w:spacing w:val="-3"/>
          <w:sz w:val="24"/>
        </w:rPr>
        <w:t xml:space="preserve"> </w:t>
      </w:r>
      <w:r w:rsidRPr="00B45993">
        <w:rPr>
          <w:rFonts w:ascii="Arial" w:hAnsi="Arial" w:cs="Arial"/>
          <w:i/>
          <w:sz w:val="24"/>
        </w:rPr>
        <w:t>the</w:t>
      </w:r>
      <w:r w:rsidRPr="00B45993">
        <w:rPr>
          <w:rFonts w:ascii="Arial" w:hAnsi="Arial" w:cs="Arial"/>
          <w:i/>
          <w:spacing w:val="-4"/>
          <w:sz w:val="24"/>
        </w:rPr>
        <w:t xml:space="preserve"> </w:t>
      </w:r>
      <w:r w:rsidRPr="00B45993">
        <w:rPr>
          <w:rFonts w:ascii="Arial" w:hAnsi="Arial" w:cs="Arial"/>
          <w:i/>
          <w:sz w:val="24"/>
        </w:rPr>
        <w:t>purposes</w:t>
      </w:r>
      <w:r w:rsidRPr="00B45993">
        <w:rPr>
          <w:rFonts w:ascii="Arial" w:hAnsi="Arial" w:cs="Arial"/>
          <w:i/>
          <w:spacing w:val="-4"/>
          <w:sz w:val="24"/>
        </w:rPr>
        <w:t xml:space="preserve"> </w:t>
      </w:r>
      <w:r w:rsidRPr="00B45993">
        <w:rPr>
          <w:rFonts w:ascii="Arial" w:hAnsi="Arial" w:cs="Arial"/>
          <w:i/>
          <w:sz w:val="24"/>
        </w:rPr>
        <w:t>of</w:t>
      </w:r>
      <w:r w:rsidRPr="00B45993">
        <w:rPr>
          <w:rFonts w:ascii="Arial" w:hAnsi="Arial" w:cs="Arial"/>
          <w:i/>
          <w:spacing w:val="-7"/>
          <w:sz w:val="24"/>
        </w:rPr>
        <w:t xml:space="preserve"> </w:t>
      </w:r>
      <w:r w:rsidRPr="00B45993">
        <w:rPr>
          <w:rFonts w:ascii="Arial" w:hAnsi="Arial" w:cs="Arial"/>
          <w:i/>
          <w:sz w:val="24"/>
        </w:rPr>
        <w:t>Article</w:t>
      </w:r>
      <w:r w:rsidRPr="00B45993">
        <w:rPr>
          <w:rFonts w:ascii="Arial" w:hAnsi="Arial" w:cs="Arial"/>
          <w:i/>
          <w:spacing w:val="-4"/>
          <w:sz w:val="24"/>
        </w:rPr>
        <w:t xml:space="preserve"> </w:t>
      </w:r>
      <w:r w:rsidRPr="00B45993">
        <w:rPr>
          <w:rFonts w:ascii="Arial" w:hAnsi="Arial" w:cs="Arial"/>
          <w:i/>
          <w:sz w:val="24"/>
        </w:rPr>
        <w:t>14(d)</w:t>
      </w:r>
      <w:r w:rsidRPr="00B45993">
        <w:rPr>
          <w:rFonts w:ascii="Arial" w:hAnsi="Arial" w:cs="Arial"/>
          <w:i/>
          <w:spacing w:val="-5"/>
          <w:sz w:val="24"/>
        </w:rPr>
        <w:t xml:space="preserve"> </w:t>
      </w:r>
      <w:r w:rsidRPr="00B45993">
        <w:rPr>
          <w:rFonts w:ascii="Arial" w:hAnsi="Arial" w:cs="Arial"/>
          <w:i/>
          <w:sz w:val="24"/>
        </w:rPr>
        <w:t>cannot,</w:t>
      </w:r>
      <w:r w:rsidRPr="00B45993">
        <w:rPr>
          <w:rFonts w:ascii="Arial" w:hAnsi="Arial" w:cs="Arial"/>
          <w:i/>
          <w:spacing w:val="-3"/>
          <w:sz w:val="24"/>
        </w:rPr>
        <w:t xml:space="preserve"> </w:t>
      </w:r>
      <w:r w:rsidRPr="00B45993">
        <w:rPr>
          <w:rFonts w:ascii="Arial" w:hAnsi="Arial" w:cs="Arial"/>
          <w:i/>
          <w:sz w:val="24"/>
        </w:rPr>
        <w:t>at</w:t>
      </w:r>
      <w:r w:rsidRPr="00B45993">
        <w:rPr>
          <w:rFonts w:ascii="Arial" w:hAnsi="Arial" w:cs="Arial"/>
          <w:i/>
          <w:spacing w:val="-2"/>
          <w:sz w:val="24"/>
        </w:rPr>
        <w:t xml:space="preserve"> </w:t>
      </w:r>
      <w:r w:rsidRPr="00B45993">
        <w:rPr>
          <w:rFonts w:ascii="Arial" w:hAnsi="Arial" w:cs="Arial"/>
          <w:i/>
          <w:sz w:val="24"/>
        </w:rPr>
        <w:t>the</w:t>
      </w:r>
      <w:r w:rsidRPr="00B45993">
        <w:rPr>
          <w:rFonts w:ascii="Arial" w:hAnsi="Arial" w:cs="Arial"/>
          <w:i/>
          <w:spacing w:val="-4"/>
          <w:sz w:val="24"/>
        </w:rPr>
        <w:t xml:space="preserve"> </w:t>
      </w:r>
      <w:r w:rsidRPr="00B45993">
        <w:rPr>
          <w:rFonts w:ascii="Arial" w:hAnsi="Arial" w:cs="Arial"/>
          <w:i/>
          <w:sz w:val="24"/>
        </w:rPr>
        <w:t>outset,</w:t>
      </w:r>
      <w:r w:rsidRPr="00B45993">
        <w:rPr>
          <w:rFonts w:ascii="Arial" w:hAnsi="Arial" w:cs="Arial"/>
          <w:i/>
          <w:spacing w:val="-4"/>
          <w:sz w:val="24"/>
        </w:rPr>
        <w:t xml:space="preserve"> </w:t>
      </w:r>
      <w:r w:rsidRPr="00B45993">
        <w:rPr>
          <w:rFonts w:ascii="Arial" w:hAnsi="Arial" w:cs="Arial"/>
          <w:i/>
          <w:sz w:val="24"/>
        </w:rPr>
        <w:t>exclude</w:t>
      </w:r>
      <w:r w:rsidRPr="00B45993">
        <w:rPr>
          <w:rFonts w:ascii="Arial" w:hAnsi="Arial" w:cs="Arial"/>
          <w:i/>
          <w:spacing w:val="-4"/>
          <w:sz w:val="24"/>
        </w:rPr>
        <w:t xml:space="preserve"> </w:t>
      </w:r>
      <w:r w:rsidRPr="00B45993">
        <w:rPr>
          <w:rFonts w:ascii="Arial" w:hAnsi="Arial" w:cs="Arial"/>
          <w:i/>
          <w:sz w:val="24"/>
        </w:rPr>
        <w:t>consideration</w:t>
      </w:r>
      <w:r w:rsidRPr="00B45993">
        <w:rPr>
          <w:rFonts w:ascii="Arial" w:hAnsi="Arial" w:cs="Arial"/>
          <w:i/>
          <w:spacing w:val="-3"/>
          <w:sz w:val="24"/>
        </w:rPr>
        <w:t xml:space="preserve"> </w:t>
      </w:r>
      <w:r w:rsidRPr="00B45993">
        <w:rPr>
          <w:rFonts w:ascii="Arial" w:hAnsi="Arial" w:cs="Arial"/>
          <w:i/>
          <w:sz w:val="24"/>
        </w:rPr>
        <w:t>of</w:t>
      </w:r>
      <w:r w:rsidRPr="00B45993">
        <w:rPr>
          <w:rFonts w:ascii="Arial" w:hAnsi="Arial" w:cs="Arial"/>
          <w:i/>
          <w:spacing w:val="-3"/>
          <w:sz w:val="24"/>
        </w:rPr>
        <w:t xml:space="preserve"> </w:t>
      </w:r>
      <w:r w:rsidRPr="00B45993">
        <w:rPr>
          <w:rFonts w:ascii="Arial" w:hAnsi="Arial" w:cs="Arial"/>
          <w:i/>
          <w:sz w:val="24"/>
        </w:rPr>
        <w:t>any potential in-country prices, including government-related prices other than the financial contribution</w:t>
      </w:r>
      <w:r w:rsidRPr="00B45993">
        <w:rPr>
          <w:rFonts w:ascii="Arial" w:hAnsi="Arial" w:cs="Arial"/>
          <w:i/>
          <w:spacing w:val="-15"/>
          <w:sz w:val="24"/>
        </w:rPr>
        <w:t xml:space="preserve"> </w:t>
      </w:r>
      <w:r w:rsidRPr="00B45993">
        <w:rPr>
          <w:rFonts w:ascii="Arial" w:hAnsi="Arial" w:cs="Arial"/>
          <w:i/>
          <w:sz w:val="24"/>
        </w:rPr>
        <w:t>at</w:t>
      </w:r>
      <w:r w:rsidRPr="00B45993">
        <w:rPr>
          <w:rFonts w:ascii="Arial" w:hAnsi="Arial" w:cs="Arial"/>
          <w:i/>
          <w:spacing w:val="-14"/>
          <w:sz w:val="24"/>
        </w:rPr>
        <w:t xml:space="preserve"> </w:t>
      </w:r>
      <w:r w:rsidRPr="00B45993">
        <w:rPr>
          <w:rFonts w:ascii="Arial" w:hAnsi="Arial" w:cs="Arial"/>
          <w:i/>
          <w:sz w:val="24"/>
        </w:rPr>
        <w:t>issue</w:t>
      </w:r>
      <w:r w:rsidRPr="00B45993">
        <w:rPr>
          <w:rFonts w:ascii="Arial" w:hAnsi="Arial" w:cs="Arial"/>
          <w:sz w:val="24"/>
        </w:rPr>
        <w:t>.”</w:t>
      </w:r>
      <w:r w:rsidRPr="00B45993">
        <w:rPr>
          <w:rFonts w:ascii="Arial" w:hAnsi="Arial" w:cs="Arial"/>
          <w:spacing w:val="-22"/>
          <w:sz w:val="24"/>
        </w:rPr>
        <w:t xml:space="preserve"> </w:t>
      </w:r>
      <w:r w:rsidR="00B45993">
        <w:rPr>
          <w:rStyle w:val="ab"/>
          <w:rFonts w:ascii="Arial" w:hAnsi="Arial" w:cs="Arial"/>
          <w:spacing w:val="-22"/>
          <w:sz w:val="24"/>
        </w:rPr>
        <w:footnoteReference w:id="42"/>
      </w:r>
      <w:r w:rsidRPr="00B45993">
        <w:rPr>
          <w:rFonts w:ascii="Arial" w:hAnsi="Arial" w:cs="Arial"/>
          <w:spacing w:val="-6"/>
          <w:sz w:val="24"/>
        </w:rPr>
        <w:t xml:space="preserve"> </w:t>
      </w:r>
      <w:r w:rsidRPr="00B45993">
        <w:rPr>
          <w:rFonts w:ascii="Arial" w:hAnsi="Arial" w:cs="Arial"/>
          <w:sz w:val="24"/>
        </w:rPr>
        <w:t>The</w:t>
      </w:r>
      <w:r w:rsidRPr="00B45993">
        <w:rPr>
          <w:rFonts w:ascii="Arial" w:hAnsi="Arial" w:cs="Arial"/>
          <w:spacing w:val="-27"/>
          <w:sz w:val="24"/>
        </w:rPr>
        <w:t xml:space="preserve"> </w:t>
      </w:r>
      <w:r w:rsidRPr="00B45993">
        <w:rPr>
          <w:rFonts w:ascii="Arial" w:hAnsi="Arial" w:cs="Arial"/>
          <w:sz w:val="24"/>
        </w:rPr>
        <w:t>Appellate</w:t>
      </w:r>
      <w:r w:rsidRPr="00B45993">
        <w:rPr>
          <w:rFonts w:ascii="Arial" w:hAnsi="Arial" w:cs="Arial"/>
          <w:spacing w:val="-15"/>
          <w:sz w:val="24"/>
        </w:rPr>
        <w:t xml:space="preserve"> </w:t>
      </w:r>
      <w:r w:rsidRPr="00B45993">
        <w:rPr>
          <w:rFonts w:ascii="Arial" w:hAnsi="Arial" w:cs="Arial"/>
          <w:sz w:val="24"/>
        </w:rPr>
        <w:t>Body</w:t>
      </w:r>
      <w:r w:rsidRPr="00B45993">
        <w:rPr>
          <w:rFonts w:ascii="Arial" w:hAnsi="Arial" w:cs="Arial"/>
          <w:spacing w:val="-14"/>
          <w:sz w:val="24"/>
        </w:rPr>
        <w:t xml:space="preserve"> </w:t>
      </w:r>
      <w:r w:rsidRPr="00B45993">
        <w:rPr>
          <w:rFonts w:ascii="Arial" w:hAnsi="Arial" w:cs="Arial"/>
          <w:sz w:val="24"/>
        </w:rPr>
        <w:t>in</w:t>
      </w:r>
      <w:r w:rsidRPr="00B45993">
        <w:rPr>
          <w:rFonts w:ascii="Arial" w:hAnsi="Arial" w:cs="Arial"/>
          <w:spacing w:val="-15"/>
          <w:sz w:val="24"/>
        </w:rPr>
        <w:t xml:space="preserve"> </w:t>
      </w:r>
      <w:r w:rsidRPr="00B45993">
        <w:rPr>
          <w:rFonts w:ascii="Arial" w:hAnsi="Arial" w:cs="Arial"/>
          <w:sz w:val="24"/>
        </w:rPr>
        <w:t>that</w:t>
      </w:r>
      <w:r w:rsidRPr="00B45993">
        <w:rPr>
          <w:rFonts w:ascii="Arial" w:hAnsi="Arial" w:cs="Arial"/>
          <w:spacing w:val="-16"/>
          <w:sz w:val="24"/>
        </w:rPr>
        <w:t xml:space="preserve"> </w:t>
      </w:r>
      <w:r w:rsidRPr="00B45993">
        <w:rPr>
          <w:rFonts w:ascii="Arial" w:hAnsi="Arial" w:cs="Arial"/>
          <w:sz w:val="24"/>
        </w:rPr>
        <w:t>case</w:t>
      </w:r>
      <w:r w:rsidRPr="00B45993">
        <w:rPr>
          <w:rFonts w:ascii="Arial" w:hAnsi="Arial" w:cs="Arial"/>
          <w:spacing w:val="-16"/>
          <w:sz w:val="24"/>
        </w:rPr>
        <w:t xml:space="preserve"> </w:t>
      </w:r>
      <w:r w:rsidRPr="00B45993">
        <w:rPr>
          <w:rFonts w:ascii="Arial" w:hAnsi="Arial" w:cs="Arial"/>
          <w:sz w:val="24"/>
        </w:rPr>
        <w:t>disagreed</w:t>
      </w:r>
      <w:r w:rsidRPr="00B45993">
        <w:rPr>
          <w:rFonts w:ascii="Arial" w:hAnsi="Arial" w:cs="Arial"/>
          <w:spacing w:val="-14"/>
          <w:sz w:val="24"/>
        </w:rPr>
        <w:t xml:space="preserve"> </w:t>
      </w:r>
      <w:r w:rsidRPr="00B45993">
        <w:rPr>
          <w:rFonts w:ascii="Arial" w:hAnsi="Arial" w:cs="Arial"/>
          <w:sz w:val="24"/>
        </w:rPr>
        <w:t>with</w:t>
      </w:r>
      <w:r w:rsidRPr="00B45993">
        <w:rPr>
          <w:rFonts w:ascii="Arial" w:hAnsi="Arial" w:cs="Arial"/>
          <w:spacing w:val="-14"/>
          <w:sz w:val="24"/>
        </w:rPr>
        <w:t xml:space="preserve"> </w:t>
      </w:r>
      <w:r w:rsidRPr="00B45993">
        <w:rPr>
          <w:rFonts w:ascii="Arial" w:hAnsi="Arial" w:cs="Arial"/>
          <w:sz w:val="24"/>
        </w:rPr>
        <w:t>the</w:t>
      </w:r>
      <w:r w:rsidRPr="00B45993">
        <w:rPr>
          <w:rFonts w:ascii="Arial" w:hAnsi="Arial" w:cs="Arial"/>
          <w:spacing w:val="-15"/>
          <w:sz w:val="24"/>
        </w:rPr>
        <w:t xml:space="preserve"> </w:t>
      </w:r>
      <w:r w:rsidRPr="00B45993">
        <w:rPr>
          <w:rFonts w:ascii="Arial" w:hAnsi="Arial" w:cs="Arial"/>
          <w:sz w:val="24"/>
        </w:rPr>
        <w:t>Panel’s</w:t>
      </w:r>
      <w:r w:rsidRPr="00B45993">
        <w:rPr>
          <w:rFonts w:ascii="Arial" w:hAnsi="Arial" w:cs="Arial"/>
          <w:spacing w:val="-14"/>
          <w:sz w:val="24"/>
        </w:rPr>
        <w:t xml:space="preserve"> </w:t>
      </w:r>
      <w:r w:rsidRPr="00B45993">
        <w:rPr>
          <w:rFonts w:ascii="Arial" w:hAnsi="Arial" w:cs="Arial"/>
          <w:sz w:val="24"/>
        </w:rPr>
        <w:t>conclusion that “</w:t>
      </w:r>
      <w:r w:rsidRPr="00B45993">
        <w:rPr>
          <w:rFonts w:ascii="Arial" w:hAnsi="Arial" w:cs="Arial"/>
          <w:i/>
          <w:sz w:val="24"/>
        </w:rPr>
        <w:t xml:space="preserve">Article 14(d) does not </w:t>
      </w:r>
      <w:r w:rsidRPr="00B45993">
        <w:rPr>
          <w:rFonts w:ascii="Arial" w:hAnsi="Arial" w:cs="Arial"/>
          <w:i/>
          <w:spacing w:val="-3"/>
          <w:sz w:val="24"/>
        </w:rPr>
        <w:t xml:space="preserve">require </w:t>
      </w:r>
      <w:r w:rsidRPr="00B45993">
        <w:rPr>
          <w:rFonts w:ascii="Arial" w:hAnsi="Arial" w:cs="Arial"/>
          <w:i/>
          <w:sz w:val="24"/>
        </w:rPr>
        <w:t>the consideration of government-related prices simply because governments may set prices in pursuit of public policy</w:t>
      </w:r>
      <w:r w:rsidRPr="00B45993">
        <w:rPr>
          <w:rFonts w:ascii="Arial" w:hAnsi="Arial" w:cs="Arial"/>
          <w:i/>
          <w:spacing w:val="-6"/>
          <w:sz w:val="24"/>
        </w:rPr>
        <w:t xml:space="preserve"> </w:t>
      </w:r>
      <w:r w:rsidRPr="00B45993">
        <w:rPr>
          <w:rFonts w:ascii="Arial" w:hAnsi="Arial" w:cs="Arial"/>
          <w:i/>
          <w:sz w:val="24"/>
        </w:rPr>
        <w:t>objectives</w:t>
      </w:r>
      <w:r w:rsidRPr="00B45993">
        <w:rPr>
          <w:rFonts w:ascii="Arial" w:hAnsi="Arial" w:cs="Arial"/>
          <w:sz w:val="24"/>
        </w:rPr>
        <w:t>.”</w:t>
      </w:r>
      <w:r w:rsidR="00B45993">
        <w:rPr>
          <w:rStyle w:val="ab"/>
          <w:rFonts w:ascii="Arial" w:hAnsi="Arial" w:cs="Arial"/>
          <w:sz w:val="24"/>
        </w:rPr>
        <w:footnoteReference w:id="43"/>
      </w:r>
    </w:p>
    <w:p w14:paraId="4D57C0B9" w14:textId="77777777" w:rsidR="00B45993" w:rsidRPr="00B45993" w:rsidRDefault="00B45993" w:rsidP="00B45993">
      <w:pPr>
        <w:pStyle w:val="a9"/>
        <w:tabs>
          <w:tab w:val="num" w:pos="0"/>
        </w:tabs>
        <w:spacing w:before="100"/>
        <w:ind w:left="644" w:right="95"/>
        <w:rPr>
          <w:rFonts w:ascii="Arial" w:hAnsi="Arial" w:cs="Arial"/>
          <w:sz w:val="24"/>
        </w:rPr>
      </w:pPr>
    </w:p>
    <w:p w14:paraId="47919042" w14:textId="21958ADA" w:rsidR="00672C19" w:rsidRPr="00B45993" w:rsidRDefault="00672C19" w:rsidP="001F79D9">
      <w:pPr>
        <w:pStyle w:val="a9"/>
        <w:widowControl w:val="0"/>
        <w:numPr>
          <w:ilvl w:val="0"/>
          <w:numId w:val="39"/>
        </w:numPr>
        <w:autoSpaceDE w:val="0"/>
        <w:autoSpaceDN w:val="0"/>
        <w:spacing w:before="240"/>
        <w:ind w:right="95" w:hanging="644"/>
        <w:rPr>
          <w:rFonts w:ascii="Arial" w:hAnsi="Arial" w:cs="Arial"/>
          <w:sz w:val="24"/>
        </w:rPr>
      </w:pPr>
      <w:r w:rsidRPr="00B45993">
        <w:rPr>
          <w:rFonts w:ascii="Arial" w:hAnsi="Arial" w:cs="Arial"/>
          <w:sz w:val="24"/>
        </w:rPr>
        <w:t xml:space="preserve">The GOC also notes that the Appellate Body in </w:t>
      </w:r>
      <w:r w:rsidRPr="00B45993">
        <w:rPr>
          <w:rFonts w:ascii="Arial" w:hAnsi="Arial" w:cs="Arial"/>
          <w:i/>
          <w:sz w:val="24"/>
        </w:rPr>
        <w:t xml:space="preserve">US – Carbon Steel (India) </w:t>
      </w:r>
      <w:r w:rsidRPr="00B45993">
        <w:rPr>
          <w:rFonts w:ascii="Arial" w:hAnsi="Arial" w:cs="Arial"/>
          <w:sz w:val="24"/>
        </w:rPr>
        <w:t>underlined that “</w:t>
      </w:r>
      <w:r w:rsidRPr="00B45993">
        <w:rPr>
          <w:rFonts w:ascii="Arial" w:hAnsi="Arial" w:cs="Arial"/>
          <w:i/>
          <w:sz w:val="24"/>
        </w:rPr>
        <w:t>[p]roper</w:t>
      </w:r>
      <w:r w:rsidRPr="00B45993">
        <w:rPr>
          <w:rFonts w:ascii="Arial" w:hAnsi="Arial" w:cs="Arial"/>
          <w:i/>
          <w:spacing w:val="-5"/>
          <w:sz w:val="24"/>
        </w:rPr>
        <w:t xml:space="preserve"> </w:t>
      </w:r>
      <w:r w:rsidRPr="00B45993">
        <w:rPr>
          <w:rFonts w:ascii="Arial" w:hAnsi="Arial" w:cs="Arial"/>
          <w:i/>
          <w:sz w:val="24"/>
        </w:rPr>
        <w:t>benchmark</w:t>
      </w:r>
      <w:r w:rsidRPr="00B45993">
        <w:rPr>
          <w:rFonts w:ascii="Arial" w:hAnsi="Arial" w:cs="Arial"/>
          <w:i/>
          <w:spacing w:val="-3"/>
          <w:sz w:val="24"/>
        </w:rPr>
        <w:t xml:space="preserve"> </w:t>
      </w:r>
      <w:r w:rsidRPr="00B45993">
        <w:rPr>
          <w:rFonts w:ascii="Arial" w:hAnsi="Arial" w:cs="Arial"/>
          <w:i/>
          <w:sz w:val="24"/>
        </w:rPr>
        <w:t>prices</w:t>
      </w:r>
      <w:r w:rsidRPr="00B45993">
        <w:rPr>
          <w:rFonts w:ascii="Arial" w:hAnsi="Arial" w:cs="Arial"/>
          <w:i/>
          <w:spacing w:val="-5"/>
          <w:sz w:val="24"/>
        </w:rPr>
        <w:t xml:space="preserve"> </w:t>
      </w:r>
      <w:r w:rsidRPr="00B45993">
        <w:rPr>
          <w:rFonts w:ascii="Arial" w:hAnsi="Arial" w:cs="Arial"/>
          <w:i/>
          <w:sz w:val="24"/>
        </w:rPr>
        <w:t>would</w:t>
      </w:r>
      <w:r w:rsidRPr="00B45993">
        <w:rPr>
          <w:rFonts w:ascii="Arial" w:hAnsi="Arial" w:cs="Arial"/>
          <w:i/>
          <w:spacing w:val="-3"/>
          <w:sz w:val="24"/>
        </w:rPr>
        <w:t xml:space="preserve"> </w:t>
      </w:r>
      <w:r w:rsidRPr="00B45993">
        <w:rPr>
          <w:rFonts w:ascii="Arial" w:hAnsi="Arial" w:cs="Arial"/>
          <w:i/>
          <w:sz w:val="24"/>
        </w:rPr>
        <w:t>normally</w:t>
      </w:r>
      <w:r w:rsidRPr="00B45993">
        <w:rPr>
          <w:rFonts w:ascii="Arial" w:hAnsi="Arial" w:cs="Arial"/>
          <w:i/>
          <w:spacing w:val="-2"/>
          <w:sz w:val="24"/>
        </w:rPr>
        <w:t xml:space="preserve"> </w:t>
      </w:r>
      <w:r w:rsidRPr="00B45993">
        <w:rPr>
          <w:rFonts w:ascii="Arial" w:hAnsi="Arial" w:cs="Arial"/>
          <w:i/>
          <w:sz w:val="24"/>
        </w:rPr>
        <w:t>emanate</w:t>
      </w:r>
      <w:r w:rsidRPr="00B45993">
        <w:rPr>
          <w:rFonts w:ascii="Arial" w:hAnsi="Arial" w:cs="Arial"/>
          <w:i/>
          <w:spacing w:val="-4"/>
          <w:sz w:val="24"/>
        </w:rPr>
        <w:t xml:space="preserve"> </w:t>
      </w:r>
      <w:r w:rsidRPr="00B45993">
        <w:rPr>
          <w:rFonts w:ascii="Arial" w:hAnsi="Arial" w:cs="Arial"/>
          <w:i/>
          <w:spacing w:val="-3"/>
          <w:sz w:val="24"/>
        </w:rPr>
        <w:t>from</w:t>
      </w:r>
      <w:r w:rsidRPr="00B45993">
        <w:rPr>
          <w:rFonts w:ascii="Arial" w:hAnsi="Arial" w:cs="Arial"/>
          <w:i/>
          <w:spacing w:val="-4"/>
          <w:sz w:val="24"/>
        </w:rPr>
        <w:t xml:space="preserve"> </w:t>
      </w:r>
      <w:r w:rsidRPr="00B45993">
        <w:rPr>
          <w:rFonts w:ascii="Arial" w:hAnsi="Arial" w:cs="Arial"/>
          <w:i/>
          <w:sz w:val="24"/>
        </w:rPr>
        <w:t>the</w:t>
      </w:r>
      <w:r w:rsidRPr="00B45993">
        <w:rPr>
          <w:rFonts w:ascii="Arial" w:hAnsi="Arial" w:cs="Arial"/>
          <w:i/>
          <w:spacing w:val="-2"/>
          <w:sz w:val="24"/>
        </w:rPr>
        <w:t xml:space="preserve"> </w:t>
      </w:r>
      <w:r w:rsidRPr="00B45993">
        <w:rPr>
          <w:rFonts w:ascii="Arial" w:hAnsi="Arial" w:cs="Arial"/>
          <w:i/>
          <w:sz w:val="24"/>
        </w:rPr>
        <w:t>market</w:t>
      </w:r>
      <w:r w:rsidRPr="00B45993">
        <w:rPr>
          <w:rFonts w:ascii="Arial" w:hAnsi="Arial" w:cs="Arial"/>
          <w:i/>
          <w:spacing w:val="-3"/>
          <w:sz w:val="24"/>
        </w:rPr>
        <w:t xml:space="preserve"> </w:t>
      </w:r>
      <w:r w:rsidRPr="00B45993">
        <w:rPr>
          <w:rFonts w:ascii="Arial" w:hAnsi="Arial" w:cs="Arial"/>
          <w:i/>
          <w:sz w:val="24"/>
        </w:rPr>
        <w:t>for</w:t>
      </w:r>
      <w:r w:rsidRPr="00B45993">
        <w:rPr>
          <w:rFonts w:ascii="Arial" w:hAnsi="Arial" w:cs="Arial"/>
          <w:i/>
          <w:spacing w:val="-4"/>
          <w:sz w:val="24"/>
        </w:rPr>
        <w:t xml:space="preserve"> </w:t>
      </w:r>
      <w:r w:rsidRPr="00B45993">
        <w:rPr>
          <w:rFonts w:ascii="Arial" w:hAnsi="Arial" w:cs="Arial"/>
          <w:i/>
          <w:sz w:val="24"/>
        </w:rPr>
        <w:t>the</w:t>
      </w:r>
      <w:r w:rsidRPr="00B45993">
        <w:rPr>
          <w:rFonts w:ascii="Arial" w:hAnsi="Arial" w:cs="Arial"/>
          <w:i/>
          <w:spacing w:val="-5"/>
          <w:sz w:val="24"/>
        </w:rPr>
        <w:t xml:space="preserve"> </w:t>
      </w:r>
      <w:r w:rsidRPr="00B45993">
        <w:rPr>
          <w:rFonts w:ascii="Arial" w:hAnsi="Arial" w:cs="Arial"/>
          <w:i/>
          <w:sz w:val="24"/>
        </w:rPr>
        <w:t>good</w:t>
      </w:r>
      <w:r w:rsidRPr="00B45993">
        <w:rPr>
          <w:rFonts w:ascii="Arial" w:hAnsi="Arial" w:cs="Arial"/>
          <w:i/>
          <w:spacing w:val="-4"/>
          <w:sz w:val="24"/>
        </w:rPr>
        <w:t xml:space="preserve"> </w:t>
      </w:r>
      <w:r w:rsidRPr="00B45993">
        <w:rPr>
          <w:rFonts w:ascii="Arial" w:hAnsi="Arial" w:cs="Arial"/>
          <w:i/>
          <w:sz w:val="24"/>
        </w:rPr>
        <w:t>in</w:t>
      </w:r>
      <w:r w:rsidRPr="00B45993">
        <w:rPr>
          <w:rFonts w:ascii="Arial" w:hAnsi="Arial" w:cs="Arial"/>
          <w:i/>
          <w:spacing w:val="-4"/>
          <w:sz w:val="24"/>
        </w:rPr>
        <w:t xml:space="preserve"> </w:t>
      </w:r>
      <w:r w:rsidRPr="00B45993">
        <w:rPr>
          <w:rFonts w:ascii="Arial" w:hAnsi="Arial" w:cs="Arial"/>
          <w:i/>
          <w:sz w:val="24"/>
        </w:rPr>
        <w:t>question in the country of provision</w:t>
      </w:r>
      <w:r w:rsidRPr="00B45993">
        <w:rPr>
          <w:rFonts w:ascii="Arial" w:hAnsi="Arial" w:cs="Arial"/>
          <w:sz w:val="24"/>
        </w:rPr>
        <w:t>” and such in-country prices “</w:t>
      </w:r>
      <w:r w:rsidRPr="00B45993">
        <w:rPr>
          <w:rFonts w:ascii="Arial" w:hAnsi="Arial" w:cs="Arial"/>
          <w:i/>
          <w:sz w:val="24"/>
        </w:rPr>
        <w:t>necessarily have the requisite connection with the prevailing market conditions in the country of provision that is prescribed by the second sentence of Article 14(d)</w:t>
      </w:r>
      <w:r w:rsidRPr="00B45993">
        <w:rPr>
          <w:rFonts w:ascii="Arial" w:hAnsi="Arial" w:cs="Arial"/>
          <w:sz w:val="24"/>
        </w:rPr>
        <w:t>.”</w:t>
      </w:r>
      <w:r w:rsidR="00B45993">
        <w:rPr>
          <w:rStyle w:val="ab"/>
          <w:rFonts w:ascii="Arial" w:hAnsi="Arial" w:cs="Arial"/>
          <w:sz w:val="24"/>
        </w:rPr>
        <w:footnoteReference w:id="44"/>
      </w:r>
      <w:r w:rsidRPr="00B45993">
        <w:rPr>
          <w:rFonts w:ascii="Arial" w:hAnsi="Arial" w:cs="Arial"/>
          <w:sz w:val="24"/>
        </w:rPr>
        <w:t xml:space="preserve"> According to the Appellate </w:t>
      </w:r>
      <w:r w:rsidRPr="00B45993">
        <w:rPr>
          <w:rFonts w:ascii="Arial" w:hAnsi="Arial" w:cs="Arial"/>
          <w:spacing w:val="-3"/>
          <w:sz w:val="24"/>
        </w:rPr>
        <w:t xml:space="preserve">Body, </w:t>
      </w:r>
      <w:r w:rsidRPr="00B45993">
        <w:rPr>
          <w:rFonts w:ascii="Arial" w:hAnsi="Arial" w:cs="Arial"/>
          <w:sz w:val="24"/>
        </w:rPr>
        <w:t>the “</w:t>
      </w:r>
      <w:r w:rsidRPr="00B45993">
        <w:rPr>
          <w:rFonts w:ascii="Arial" w:hAnsi="Arial" w:cs="Arial"/>
          <w:i/>
          <w:sz w:val="24"/>
        </w:rPr>
        <w:t xml:space="preserve">primary” </w:t>
      </w:r>
      <w:r w:rsidRPr="00B45993">
        <w:rPr>
          <w:rFonts w:ascii="Arial" w:hAnsi="Arial" w:cs="Arial"/>
          <w:sz w:val="24"/>
        </w:rPr>
        <w:t>benchmark,</w:t>
      </w:r>
      <w:r w:rsidRPr="00B45993">
        <w:rPr>
          <w:rFonts w:ascii="Arial" w:hAnsi="Arial" w:cs="Arial"/>
          <w:spacing w:val="-15"/>
          <w:sz w:val="24"/>
        </w:rPr>
        <w:t xml:space="preserve"> </w:t>
      </w:r>
      <w:r w:rsidRPr="00B45993">
        <w:rPr>
          <w:rFonts w:ascii="Arial" w:hAnsi="Arial" w:cs="Arial"/>
          <w:sz w:val="24"/>
        </w:rPr>
        <w:t>and</w:t>
      </w:r>
      <w:r w:rsidRPr="00B45993">
        <w:rPr>
          <w:rFonts w:ascii="Arial" w:hAnsi="Arial" w:cs="Arial"/>
          <w:spacing w:val="-15"/>
          <w:sz w:val="24"/>
        </w:rPr>
        <w:t xml:space="preserve"> </w:t>
      </w:r>
      <w:r w:rsidRPr="00B45993">
        <w:rPr>
          <w:rFonts w:ascii="Arial" w:hAnsi="Arial" w:cs="Arial"/>
          <w:sz w:val="24"/>
        </w:rPr>
        <w:t>“</w:t>
      </w:r>
      <w:r w:rsidRPr="00B45993">
        <w:rPr>
          <w:rFonts w:ascii="Arial" w:hAnsi="Arial" w:cs="Arial"/>
          <w:i/>
          <w:sz w:val="24"/>
        </w:rPr>
        <w:t>therefore</w:t>
      </w:r>
      <w:r w:rsidRPr="00B45993">
        <w:rPr>
          <w:rFonts w:ascii="Arial" w:hAnsi="Arial" w:cs="Arial"/>
          <w:i/>
          <w:spacing w:val="-16"/>
          <w:sz w:val="24"/>
        </w:rPr>
        <w:t xml:space="preserve"> </w:t>
      </w:r>
      <w:r w:rsidRPr="00B45993">
        <w:rPr>
          <w:rFonts w:ascii="Arial" w:hAnsi="Arial" w:cs="Arial"/>
          <w:i/>
          <w:sz w:val="24"/>
        </w:rPr>
        <w:t>the</w:t>
      </w:r>
      <w:r w:rsidRPr="00B45993">
        <w:rPr>
          <w:rFonts w:ascii="Arial" w:hAnsi="Arial" w:cs="Arial"/>
          <w:i/>
          <w:spacing w:val="-15"/>
          <w:sz w:val="24"/>
        </w:rPr>
        <w:t xml:space="preserve"> </w:t>
      </w:r>
      <w:r w:rsidRPr="00B45993">
        <w:rPr>
          <w:rFonts w:ascii="Arial" w:hAnsi="Arial" w:cs="Arial"/>
          <w:i/>
          <w:sz w:val="24"/>
        </w:rPr>
        <w:t>starting</w:t>
      </w:r>
      <w:r w:rsidRPr="00B45993">
        <w:rPr>
          <w:rFonts w:ascii="Arial" w:hAnsi="Arial" w:cs="Arial"/>
          <w:i/>
          <w:spacing w:val="-15"/>
          <w:sz w:val="24"/>
        </w:rPr>
        <w:t xml:space="preserve"> </w:t>
      </w:r>
      <w:r w:rsidRPr="00B45993">
        <w:rPr>
          <w:rFonts w:ascii="Arial" w:hAnsi="Arial" w:cs="Arial"/>
          <w:i/>
          <w:sz w:val="24"/>
        </w:rPr>
        <w:t>point</w:t>
      </w:r>
      <w:r w:rsidRPr="00B45993">
        <w:rPr>
          <w:rFonts w:ascii="Arial" w:hAnsi="Arial" w:cs="Arial"/>
          <w:i/>
          <w:spacing w:val="-14"/>
          <w:sz w:val="24"/>
        </w:rPr>
        <w:t xml:space="preserve"> </w:t>
      </w:r>
      <w:r w:rsidRPr="00B45993">
        <w:rPr>
          <w:rFonts w:ascii="Arial" w:hAnsi="Arial" w:cs="Arial"/>
          <w:i/>
          <w:sz w:val="24"/>
        </w:rPr>
        <w:t>of</w:t>
      </w:r>
      <w:r w:rsidRPr="00B45993">
        <w:rPr>
          <w:rFonts w:ascii="Arial" w:hAnsi="Arial" w:cs="Arial"/>
          <w:i/>
          <w:spacing w:val="-17"/>
          <w:sz w:val="24"/>
        </w:rPr>
        <w:t xml:space="preserve"> </w:t>
      </w:r>
      <w:r w:rsidRPr="00B45993">
        <w:rPr>
          <w:rFonts w:ascii="Arial" w:hAnsi="Arial" w:cs="Arial"/>
          <w:i/>
          <w:sz w:val="24"/>
        </w:rPr>
        <w:t>the</w:t>
      </w:r>
      <w:r w:rsidRPr="00B45993">
        <w:rPr>
          <w:rFonts w:ascii="Arial" w:hAnsi="Arial" w:cs="Arial"/>
          <w:i/>
          <w:spacing w:val="-18"/>
          <w:sz w:val="24"/>
        </w:rPr>
        <w:t xml:space="preserve"> </w:t>
      </w:r>
      <w:r w:rsidRPr="00B45993">
        <w:rPr>
          <w:rFonts w:ascii="Arial" w:hAnsi="Arial" w:cs="Arial"/>
          <w:i/>
          <w:sz w:val="24"/>
        </w:rPr>
        <w:t>analysis</w:t>
      </w:r>
      <w:r w:rsidRPr="00B45993">
        <w:rPr>
          <w:rFonts w:ascii="Arial" w:hAnsi="Arial" w:cs="Arial"/>
          <w:sz w:val="24"/>
        </w:rPr>
        <w:t>”</w:t>
      </w:r>
      <w:r w:rsidRPr="00B45993">
        <w:rPr>
          <w:rFonts w:ascii="Arial" w:hAnsi="Arial" w:cs="Arial"/>
          <w:spacing w:val="-16"/>
          <w:sz w:val="24"/>
        </w:rPr>
        <w:t xml:space="preserve"> </w:t>
      </w:r>
      <w:r w:rsidRPr="00B45993">
        <w:rPr>
          <w:rFonts w:ascii="Arial" w:hAnsi="Arial" w:cs="Arial"/>
          <w:sz w:val="24"/>
        </w:rPr>
        <w:t>for</w:t>
      </w:r>
      <w:r w:rsidRPr="00B45993">
        <w:rPr>
          <w:rFonts w:ascii="Arial" w:hAnsi="Arial" w:cs="Arial"/>
          <w:spacing w:val="-17"/>
          <w:sz w:val="24"/>
        </w:rPr>
        <w:t xml:space="preserve"> </w:t>
      </w:r>
      <w:r w:rsidRPr="00B45993">
        <w:rPr>
          <w:rFonts w:ascii="Arial" w:hAnsi="Arial" w:cs="Arial"/>
          <w:sz w:val="24"/>
        </w:rPr>
        <w:t>determining</w:t>
      </w:r>
      <w:r w:rsidRPr="00B45993">
        <w:rPr>
          <w:rFonts w:ascii="Arial" w:hAnsi="Arial" w:cs="Arial"/>
          <w:spacing w:val="-15"/>
          <w:sz w:val="24"/>
        </w:rPr>
        <w:t xml:space="preserve"> </w:t>
      </w:r>
      <w:r w:rsidRPr="00B45993">
        <w:rPr>
          <w:rFonts w:ascii="Arial" w:hAnsi="Arial" w:cs="Arial"/>
          <w:sz w:val="24"/>
        </w:rPr>
        <w:t>a</w:t>
      </w:r>
      <w:r w:rsidRPr="00B45993">
        <w:rPr>
          <w:rFonts w:ascii="Arial" w:hAnsi="Arial" w:cs="Arial"/>
          <w:spacing w:val="-16"/>
          <w:sz w:val="24"/>
        </w:rPr>
        <w:t xml:space="preserve"> </w:t>
      </w:r>
      <w:r w:rsidRPr="00B45993">
        <w:rPr>
          <w:rFonts w:ascii="Arial" w:hAnsi="Arial" w:cs="Arial"/>
          <w:sz w:val="24"/>
        </w:rPr>
        <w:t>benchmark,</w:t>
      </w:r>
      <w:r w:rsidRPr="00B45993">
        <w:rPr>
          <w:rFonts w:ascii="Arial" w:hAnsi="Arial" w:cs="Arial"/>
          <w:spacing w:val="-15"/>
          <w:sz w:val="24"/>
        </w:rPr>
        <w:t xml:space="preserve"> </w:t>
      </w:r>
      <w:r w:rsidRPr="00B45993">
        <w:rPr>
          <w:rFonts w:ascii="Arial" w:hAnsi="Arial" w:cs="Arial"/>
          <w:sz w:val="24"/>
        </w:rPr>
        <w:lastRenderedPageBreak/>
        <w:t>rests in the in-country benchmarks.</w:t>
      </w:r>
      <w:r w:rsidR="00B45993">
        <w:rPr>
          <w:rStyle w:val="ab"/>
          <w:rFonts w:ascii="Arial" w:hAnsi="Arial" w:cs="Arial"/>
          <w:sz w:val="24"/>
        </w:rPr>
        <w:footnoteReference w:id="45"/>
      </w:r>
      <w:r w:rsidRPr="00B45993">
        <w:rPr>
          <w:rFonts w:ascii="Arial" w:hAnsi="Arial" w:cs="Arial"/>
          <w:sz w:val="24"/>
        </w:rPr>
        <w:t xml:space="preserve"> As noted by the Appellate Body in </w:t>
      </w:r>
      <w:r w:rsidRPr="00B45993">
        <w:rPr>
          <w:rFonts w:ascii="Arial" w:hAnsi="Arial" w:cs="Arial"/>
          <w:i/>
          <w:sz w:val="24"/>
        </w:rPr>
        <w:t>US – Carbon Steel</w:t>
      </w:r>
      <w:r w:rsidRPr="00B45993">
        <w:rPr>
          <w:rFonts w:ascii="Arial" w:hAnsi="Arial" w:cs="Arial"/>
          <w:i/>
          <w:spacing w:val="-30"/>
          <w:sz w:val="24"/>
        </w:rPr>
        <w:t xml:space="preserve"> </w:t>
      </w:r>
      <w:r w:rsidRPr="00B45993">
        <w:rPr>
          <w:rFonts w:ascii="Arial" w:hAnsi="Arial" w:cs="Arial"/>
          <w:i/>
          <w:sz w:val="24"/>
        </w:rPr>
        <w:t xml:space="preserve">(India) </w:t>
      </w:r>
      <w:r w:rsidRPr="00B45993">
        <w:rPr>
          <w:rFonts w:ascii="Arial" w:hAnsi="Arial" w:cs="Arial"/>
          <w:sz w:val="24"/>
        </w:rPr>
        <w:t xml:space="preserve">and </w:t>
      </w:r>
      <w:r w:rsidRPr="00B45993">
        <w:rPr>
          <w:rFonts w:ascii="Arial" w:hAnsi="Arial" w:cs="Arial"/>
          <w:i/>
          <w:sz w:val="24"/>
        </w:rPr>
        <w:t>US – Softwood Lumber IV</w:t>
      </w:r>
      <w:r w:rsidRPr="00B45993">
        <w:rPr>
          <w:rFonts w:ascii="Arial" w:hAnsi="Arial" w:cs="Arial"/>
          <w:sz w:val="24"/>
        </w:rPr>
        <w:t xml:space="preserve">, as well as by the Panel in </w:t>
      </w:r>
      <w:r w:rsidRPr="00B45993">
        <w:rPr>
          <w:rFonts w:ascii="Arial" w:hAnsi="Arial" w:cs="Arial"/>
          <w:i/>
          <w:sz w:val="24"/>
        </w:rPr>
        <w:t>US – AD and CVD (China)</w:t>
      </w:r>
      <w:r w:rsidRPr="00B45993">
        <w:rPr>
          <w:rFonts w:ascii="Arial" w:hAnsi="Arial" w:cs="Arial"/>
          <w:sz w:val="24"/>
        </w:rPr>
        <w:t>, the use of out-of-country benchmarks is “exceptional” and, if resorted to, must relate or refer to, or be connected with, the prevailing market conditions in the country of provision and must reflect price,</w:t>
      </w:r>
      <w:r w:rsidRPr="00B45993">
        <w:rPr>
          <w:rFonts w:ascii="Arial" w:hAnsi="Arial" w:cs="Arial"/>
          <w:spacing w:val="-17"/>
          <w:sz w:val="24"/>
        </w:rPr>
        <w:t xml:space="preserve"> </w:t>
      </w:r>
      <w:r w:rsidRPr="00B45993">
        <w:rPr>
          <w:rFonts w:ascii="Arial" w:hAnsi="Arial" w:cs="Arial"/>
          <w:sz w:val="24"/>
        </w:rPr>
        <w:t>quality,</w:t>
      </w:r>
      <w:r w:rsidRPr="00B45993">
        <w:rPr>
          <w:rFonts w:ascii="Arial" w:hAnsi="Arial" w:cs="Arial"/>
          <w:spacing w:val="-17"/>
          <w:sz w:val="24"/>
        </w:rPr>
        <w:t xml:space="preserve"> </w:t>
      </w:r>
      <w:r w:rsidRPr="00B45993">
        <w:rPr>
          <w:rFonts w:ascii="Arial" w:hAnsi="Arial" w:cs="Arial"/>
          <w:sz w:val="24"/>
        </w:rPr>
        <w:t>and</w:t>
      </w:r>
      <w:r w:rsidRPr="00B45993">
        <w:rPr>
          <w:rFonts w:ascii="Arial" w:hAnsi="Arial" w:cs="Arial"/>
          <w:spacing w:val="-16"/>
          <w:sz w:val="24"/>
        </w:rPr>
        <w:t xml:space="preserve"> </w:t>
      </w:r>
      <w:r w:rsidRPr="00B45993">
        <w:rPr>
          <w:rFonts w:ascii="Arial" w:hAnsi="Arial" w:cs="Arial"/>
          <w:sz w:val="24"/>
        </w:rPr>
        <w:t>availability</w:t>
      </w:r>
      <w:r w:rsidRPr="00B45993">
        <w:rPr>
          <w:rFonts w:ascii="Arial" w:hAnsi="Arial" w:cs="Arial"/>
          <w:spacing w:val="-17"/>
          <w:sz w:val="24"/>
        </w:rPr>
        <w:t xml:space="preserve"> </w:t>
      </w:r>
      <w:r w:rsidRPr="00B45993">
        <w:rPr>
          <w:rFonts w:ascii="Arial" w:hAnsi="Arial" w:cs="Arial"/>
          <w:sz w:val="24"/>
        </w:rPr>
        <w:t>and</w:t>
      </w:r>
      <w:r w:rsidRPr="00B45993">
        <w:rPr>
          <w:rFonts w:ascii="Arial" w:hAnsi="Arial" w:cs="Arial"/>
          <w:spacing w:val="-16"/>
          <w:sz w:val="24"/>
        </w:rPr>
        <w:t xml:space="preserve"> </w:t>
      </w:r>
      <w:r w:rsidRPr="00B45993">
        <w:rPr>
          <w:rFonts w:ascii="Arial" w:hAnsi="Arial" w:cs="Arial"/>
          <w:sz w:val="24"/>
        </w:rPr>
        <w:t>other</w:t>
      </w:r>
      <w:r w:rsidRPr="00B45993">
        <w:rPr>
          <w:rFonts w:ascii="Arial" w:hAnsi="Arial" w:cs="Arial"/>
          <w:spacing w:val="-18"/>
          <w:sz w:val="24"/>
        </w:rPr>
        <w:t xml:space="preserve"> </w:t>
      </w:r>
      <w:r w:rsidRPr="00B45993">
        <w:rPr>
          <w:rFonts w:ascii="Arial" w:hAnsi="Arial" w:cs="Arial"/>
          <w:sz w:val="24"/>
        </w:rPr>
        <w:t>conditions</w:t>
      </w:r>
      <w:r w:rsidRPr="00B45993">
        <w:rPr>
          <w:rFonts w:ascii="Arial" w:hAnsi="Arial" w:cs="Arial"/>
          <w:spacing w:val="-14"/>
          <w:sz w:val="24"/>
        </w:rPr>
        <w:t xml:space="preserve"> </w:t>
      </w:r>
      <w:r w:rsidRPr="00B45993">
        <w:rPr>
          <w:rFonts w:ascii="Arial" w:hAnsi="Arial" w:cs="Arial"/>
          <w:sz w:val="24"/>
        </w:rPr>
        <w:t>of</w:t>
      </w:r>
      <w:r w:rsidRPr="00B45993">
        <w:rPr>
          <w:rFonts w:ascii="Arial" w:hAnsi="Arial" w:cs="Arial"/>
          <w:spacing w:val="-17"/>
          <w:sz w:val="24"/>
        </w:rPr>
        <w:t xml:space="preserve"> </w:t>
      </w:r>
      <w:r w:rsidRPr="00B45993">
        <w:rPr>
          <w:rFonts w:ascii="Arial" w:hAnsi="Arial" w:cs="Arial"/>
          <w:sz w:val="24"/>
        </w:rPr>
        <w:t>purchase</w:t>
      </w:r>
      <w:r w:rsidRPr="00B45993">
        <w:rPr>
          <w:rFonts w:ascii="Arial" w:hAnsi="Arial" w:cs="Arial"/>
          <w:spacing w:val="-18"/>
          <w:sz w:val="24"/>
        </w:rPr>
        <w:t xml:space="preserve"> </w:t>
      </w:r>
      <w:r w:rsidRPr="00B45993">
        <w:rPr>
          <w:rFonts w:ascii="Arial" w:hAnsi="Arial" w:cs="Arial"/>
          <w:sz w:val="24"/>
        </w:rPr>
        <w:t>or</w:t>
      </w:r>
      <w:r w:rsidRPr="00B45993">
        <w:rPr>
          <w:rFonts w:ascii="Arial" w:hAnsi="Arial" w:cs="Arial"/>
          <w:spacing w:val="-17"/>
          <w:sz w:val="24"/>
        </w:rPr>
        <w:t xml:space="preserve"> </w:t>
      </w:r>
      <w:r w:rsidRPr="00B45993">
        <w:rPr>
          <w:rFonts w:ascii="Arial" w:hAnsi="Arial" w:cs="Arial"/>
          <w:sz w:val="24"/>
        </w:rPr>
        <w:t>sales</w:t>
      </w:r>
      <w:r w:rsidRPr="00B45993">
        <w:rPr>
          <w:rFonts w:ascii="Arial" w:hAnsi="Arial" w:cs="Arial"/>
          <w:spacing w:val="-17"/>
          <w:sz w:val="24"/>
        </w:rPr>
        <w:t xml:space="preserve"> </w:t>
      </w:r>
      <w:r w:rsidRPr="00B45993">
        <w:rPr>
          <w:rFonts w:ascii="Arial" w:hAnsi="Arial" w:cs="Arial"/>
          <w:sz w:val="24"/>
        </w:rPr>
        <w:t>pursuant</w:t>
      </w:r>
      <w:r w:rsidRPr="00B45993">
        <w:rPr>
          <w:rFonts w:ascii="Arial" w:hAnsi="Arial" w:cs="Arial"/>
          <w:spacing w:val="-15"/>
          <w:sz w:val="24"/>
        </w:rPr>
        <w:t xml:space="preserve"> </w:t>
      </w:r>
      <w:r w:rsidRPr="00B45993">
        <w:rPr>
          <w:rFonts w:ascii="Arial" w:hAnsi="Arial" w:cs="Arial"/>
          <w:sz w:val="24"/>
        </w:rPr>
        <w:t>to</w:t>
      </w:r>
      <w:r w:rsidRPr="00B45993">
        <w:rPr>
          <w:rFonts w:ascii="Arial" w:hAnsi="Arial" w:cs="Arial"/>
          <w:spacing w:val="-26"/>
          <w:sz w:val="24"/>
        </w:rPr>
        <w:t xml:space="preserve"> </w:t>
      </w:r>
      <w:r w:rsidRPr="00B45993">
        <w:rPr>
          <w:rFonts w:ascii="Arial" w:hAnsi="Arial" w:cs="Arial"/>
          <w:sz w:val="24"/>
        </w:rPr>
        <w:t>Article</w:t>
      </w:r>
      <w:r w:rsidRPr="00B45993">
        <w:rPr>
          <w:rFonts w:ascii="Arial" w:hAnsi="Arial" w:cs="Arial"/>
          <w:spacing w:val="-16"/>
          <w:sz w:val="24"/>
        </w:rPr>
        <w:t xml:space="preserve"> </w:t>
      </w:r>
      <w:r w:rsidRPr="00B45993">
        <w:rPr>
          <w:rFonts w:ascii="Arial" w:hAnsi="Arial" w:cs="Arial"/>
          <w:sz w:val="24"/>
        </w:rPr>
        <w:t>14(d) of the SCM</w:t>
      </w:r>
      <w:r w:rsidRPr="00B45993">
        <w:rPr>
          <w:rFonts w:ascii="Arial" w:hAnsi="Arial" w:cs="Arial"/>
          <w:spacing w:val="-17"/>
          <w:sz w:val="24"/>
        </w:rPr>
        <w:t xml:space="preserve"> </w:t>
      </w:r>
      <w:r w:rsidRPr="00B45993">
        <w:rPr>
          <w:rFonts w:ascii="Arial" w:hAnsi="Arial" w:cs="Arial"/>
          <w:sz w:val="24"/>
        </w:rPr>
        <w:t>Agreement.</w:t>
      </w:r>
      <w:r w:rsidR="00B45993">
        <w:rPr>
          <w:rStyle w:val="ab"/>
          <w:rFonts w:ascii="Arial" w:hAnsi="Arial" w:cs="Arial"/>
          <w:sz w:val="24"/>
        </w:rPr>
        <w:footnoteReference w:id="46"/>
      </w:r>
    </w:p>
    <w:p w14:paraId="77253B80" w14:textId="77777777" w:rsidR="00B45993" w:rsidRDefault="00B45993" w:rsidP="00B45993">
      <w:pPr>
        <w:pStyle w:val="a7"/>
        <w:tabs>
          <w:tab w:val="clear" w:pos="720"/>
          <w:tab w:val="num" w:pos="0"/>
        </w:tabs>
        <w:spacing w:before="100"/>
        <w:ind w:left="916" w:right="95"/>
        <w:rPr>
          <w:rFonts w:ascii="Arial" w:eastAsiaTheme="minorEastAsia" w:hAnsi="Arial" w:cs="Arial"/>
          <w:sz w:val="24"/>
          <w:lang w:eastAsia="zh-CN"/>
        </w:rPr>
      </w:pPr>
    </w:p>
    <w:p w14:paraId="3B2C0038" w14:textId="432AAC99" w:rsidR="00672C19" w:rsidRPr="00B45993" w:rsidRDefault="00672C19" w:rsidP="001F79D9">
      <w:pPr>
        <w:pStyle w:val="a7"/>
        <w:numPr>
          <w:ilvl w:val="0"/>
          <w:numId w:val="39"/>
        </w:numPr>
        <w:spacing w:before="100"/>
        <w:ind w:right="95" w:hanging="644"/>
        <w:rPr>
          <w:rFonts w:ascii="Arial" w:hAnsi="Arial" w:cs="Arial"/>
          <w:sz w:val="24"/>
          <w:szCs w:val="24"/>
        </w:rPr>
      </w:pPr>
      <w:r w:rsidRPr="00B45993">
        <w:rPr>
          <w:rFonts w:ascii="Arial" w:hAnsi="Arial" w:cs="Arial"/>
          <w:sz w:val="24"/>
        </w:rPr>
        <w:t>The GOC also notes that, in this case, in-country prices are adequate because among others, private</w:t>
      </w:r>
      <w:r w:rsidRPr="00B45993">
        <w:rPr>
          <w:rFonts w:ascii="Arial" w:hAnsi="Arial" w:cs="Arial"/>
          <w:spacing w:val="-11"/>
          <w:sz w:val="24"/>
        </w:rPr>
        <w:t xml:space="preserve"> </w:t>
      </w:r>
      <w:r w:rsidRPr="00B45993">
        <w:rPr>
          <w:rFonts w:ascii="Arial" w:hAnsi="Arial" w:cs="Arial"/>
          <w:sz w:val="24"/>
        </w:rPr>
        <w:t>companies</w:t>
      </w:r>
      <w:r w:rsidRPr="00B45993">
        <w:rPr>
          <w:rFonts w:ascii="Arial" w:hAnsi="Arial" w:cs="Arial"/>
          <w:spacing w:val="-11"/>
          <w:sz w:val="24"/>
        </w:rPr>
        <w:t xml:space="preserve"> </w:t>
      </w:r>
      <w:r w:rsidRPr="00B45993">
        <w:rPr>
          <w:rFonts w:ascii="Arial" w:hAnsi="Arial" w:cs="Arial"/>
          <w:sz w:val="24"/>
        </w:rPr>
        <w:t>are</w:t>
      </w:r>
      <w:r w:rsidRPr="00B45993">
        <w:rPr>
          <w:rFonts w:ascii="Arial" w:hAnsi="Arial" w:cs="Arial"/>
          <w:spacing w:val="-12"/>
          <w:sz w:val="24"/>
        </w:rPr>
        <w:t xml:space="preserve"> </w:t>
      </w:r>
      <w:r w:rsidRPr="00B45993">
        <w:rPr>
          <w:rFonts w:ascii="Arial" w:hAnsi="Arial" w:cs="Arial"/>
          <w:sz w:val="24"/>
        </w:rPr>
        <w:t>also</w:t>
      </w:r>
      <w:r w:rsidRPr="00B45993">
        <w:rPr>
          <w:rFonts w:ascii="Arial" w:hAnsi="Arial" w:cs="Arial"/>
          <w:spacing w:val="-11"/>
          <w:sz w:val="24"/>
        </w:rPr>
        <w:t xml:space="preserve"> </w:t>
      </w:r>
      <w:r w:rsidRPr="00B45993">
        <w:rPr>
          <w:rFonts w:ascii="Arial" w:hAnsi="Arial" w:cs="Arial"/>
          <w:sz w:val="24"/>
        </w:rPr>
        <w:t>engaged</w:t>
      </w:r>
      <w:r w:rsidRPr="00B45993">
        <w:rPr>
          <w:rFonts w:ascii="Arial" w:hAnsi="Arial" w:cs="Arial"/>
          <w:spacing w:val="-11"/>
          <w:sz w:val="24"/>
        </w:rPr>
        <w:t xml:space="preserve"> </w:t>
      </w:r>
      <w:r w:rsidRPr="00B45993">
        <w:rPr>
          <w:rFonts w:ascii="Arial" w:hAnsi="Arial" w:cs="Arial"/>
          <w:sz w:val="24"/>
        </w:rPr>
        <w:t>in</w:t>
      </w:r>
      <w:r w:rsidRPr="00B45993">
        <w:rPr>
          <w:rFonts w:ascii="Arial" w:hAnsi="Arial" w:cs="Arial"/>
          <w:spacing w:val="-11"/>
          <w:sz w:val="24"/>
        </w:rPr>
        <w:t xml:space="preserve"> </w:t>
      </w:r>
      <w:r w:rsidRPr="00B45993">
        <w:rPr>
          <w:rFonts w:ascii="Arial" w:hAnsi="Arial" w:cs="Arial"/>
          <w:sz w:val="24"/>
        </w:rPr>
        <w:t>sub-letting</w:t>
      </w:r>
      <w:r w:rsidRPr="00B45993">
        <w:rPr>
          <w:rFonts w:ascii="Arial" w:hAnsi="Arial" w:cs="Arial"/>
          <w:spacing w:val="-11"/>
          <w:sz w:val="24"/>
        </w:rPr>
        <w:t xml:space="preserve"> </w:t>
      </w:r>
      <w:r w:rsidRPr="00B45993">
        <w:rPr>
          <w:rFonts w:ascii="Arial" w:hAnsi="Arial" w:cs="Arial"/>
          <w:sz w:val="24"/>
        </w:rPr>
        <w:t>or</w:t>
      </w:r>
      <w:r w:rsidRPr="00B45993">
        <w:rPr>
          <w:rFonts w:ascii="Arial" w:hAnsi="Arial" w:cs="Arial"/>
          <w:spacing w:val="-12"/>
          <w:sz w:val="24"/>
        </w:rPr>
        <w:t xml:space="preserve"> </w:t>
      </w:r>
      <w:r w:rsidRPr="00B45993">
        <w:rPr>
          <w:rFonts w:ascii="Arial" w:hAnsi="Arial" w:cs="Arial"/>
          <w:sz w:val="24"/>
        </w:rPr>
        <w:t>transferring</w:t>
      </w:r>
      <w:r w:rsidRPr="00B45993">
        <w:rPr>
          <w:rFonts w:ascii="Arial" w:hAnsi="Arial" w:cs="Arial"/>
          <w:spacing w:val="-11"/>
          <w:sz w:val="24"/>
        </w:rPr>
        <w:t xml:space="preserve"> </w:t>
      </w:r>
      <w:r w:rsidRPr="00B45993">
        <w:rPr>
          <w:rFonts w:ascii="Arial" w:hAnsi="Arial" w:cs="Arial"/>
          <w:sz w:val="24"/>
        </w:rPr>
        <w:t>LURs.</w:t>
      </w:r>
      <w:r w:rsidRPr="00B45993">
        <w:rPr>
          <w:rFonts w:ascii="Arial" w:hAnsi="Arial" w:cs="Arial"/>
          <w:spacing w:val="-13"/>
          <w:sz w:val="24"/>
        </w:rPr>
        <w:t xml:space="preserve"> </w:t>
      </w:r>
      <w:r w:rsidRPr="00B45993">
        <w:rPr>
          <w:rFonts w:ascii="Arial" w:hAnsi="Arial" w:cs="Arial"/>
          <w:sz w:val="24"/>
        </w:rPr>
        <w:t>The</w:t>
      </w:r>
      <w:r w:rsidRPr="00B45993">
        <w:rPr>
          <w:rFonts w:ascii="Arial" w:hAnsi="Arial" w:cs="Arial"/>
          <w:spacing w:val="-10"/>
          <w:sz w:val="24"/>
        </w:rPr>
        <w:t xml:space="preserve"> </w:t>
      </w:r>
      <w:r w:rsidRPr="00B45993">
        <w:rPr>
          <w:rFonts w:ascii="Arial" w:hAnsi="Arial" w:cs="Arial"/>
          <w:sz w:val="24"/>
        </w:rPr>
        <w:t>government</w:t>
      </w:r>
      <w:r w:rsidRPr="00B45993">
        <w:rPr>
          <w:rFonts w:ascii="Arial" w:hAnsi="Arial" w:cs="Arial"/>
          <w:spacing w:val="-10"/>
          <w:sz w:val="24"/>
        </w:rPr>
        <w:t xml:space="preserve"> </w:t>
      </w:r>
      <w:r w:rsidRPr="00B45993">
        <w:rPr>
          <w:rFonts w:ascii="Arial" w:hAnsi="Arial" w:cs="Arial"/>
          <w:sz w:val="24"/>
        </w:rPr>
        <w:t>is</w:t>
      </w:r>
      <w:r w:rsidRPr="00B45993">
        <w:rPr>
          <w:rFonts w:ascii="Arial" w:hAnsi="Arial" w:cs="Arial"/>
          <w:spacing w:val="-10"/>
          <w:sz w:val="24"/>
        </w:rPr>
        <w:t xml:space="preserve"> </w:t>
      </w:r>
      <w:r w:rsidRPr="00B45993">
        <w:rPr>
          <w:rFonts w:ascii="Arial" w:hAnsi="Arial" w:cs="Arial"/>
          <w:sz w:val="24"/>
        </w:rPr>
        <w:t xml:space="preserve">thus not the only player in that market. Indeed, private companies owning LURs also rent or sell these LURs to unrelated buyers in the market. In-country prices should, therefore, be used as a benchmark. </w:t>
      </w:r>
      <w:r w:rsidRPr="00B45993">
        <w:rPr>
          <w:rFonts w:ascii="Arial" w:hAnsi="Arial" w:cs="Arial"/>
          <w:spacing w:val="-3"/>
          <w:sz w:val="24"/>
        </w:rPr>
        <w:t xml:space="preserve">With </w:t>
      </w:r>
      <w:r w:rsidRPr="00B45993">
        <w:rPr>
          <w:rFonts w:ascii="Arial" w:hAnsi="Arial" w:cs="Arial"/>
          <w:sz w:val="24"/>
        </w:rPr>
        <w:t xml:space="preserve">respect to producers that have gone through bidding for their LURs, </w:t>
      </w:r>
      <w:r w:rsidRPr="00B45993">
        <w:rPr>
          <w:rFonts w:ascii="Arial" w:hAnsi="Arial" w:cs="Arial"/>
          <w:spacing w:val="2"/>
          <w:sz w:val="24"/>
        </w:rPr>
        <w:t xml:space="preserve">in- </w:t>
      </w:r>
      <w:r w:rsidRPr="00B45993">
        <w:rPr>
          <w:rFonts w:ascii="Arial" w:hAnsi="Arial" w:cs="Arial"/>
          <w:sz w:val="24"/>
        </w:rPr>
        <w:t xml:space="preserve">country prices constitute an appropriate benchmark because, according to the Appellate Body in </w:t>
      </w:r>
      <w:r w:rsidRPr="00B45993">
        <w:rPr>
          <w:rFonts w:ascii="Arial" w:hAnsi="Arial" w:cs="Arial"/>
          <w:i/>
          <w:sz w:val="24"/>
        </w:rPr>
        <w:t xml:space="preserve">Canada – Renewable Energy / Canada – Feed-in </w:t>
      </w:r>
      <w:r w:rsidRPr="00B45993">
        <w:rPr>
          <w:rFonts w:ascii="Arial" w:hAnsi="Arial" w:cs="Arial"/>
          <w:i/>
          <w:spacing w:val="-5"/>
          <w:sz w:val="24"/>
        </w:rPr>
        <w:t xml:space="preserve">Tariff </w:t>
      </w:r>
      <w:r w:rsidRPr="00B45993">
        <w:rPr>
          <w:rFonts w:ascii="Arial" w:hAnsi="Arial" w:cs="Arial"/>
          <w:i/>
          <w:sz w:val="24"/>
        </w:rPr>
        <w:t>Program</w:t>
      </w:r>
      <w:r w:rsidRPr="00B45993">
        <w:rPr>
          <w:rFonts w:ascii="Arial" w:hAnsi="Arial" w:cs="Arial"/>
          <w:sz w:val="24"/>
        </w:rPr>
        <w:t>, “</w:t>
      </w:r>
      <w:r w:rsidRPr="00B45993">
        <w:rPr>
          <w:rFonts w:ascii="Arial" w:hAnsi="Arial" w:cs="Arial"/>
          <w:i/>
          <w:sz w:val="24"/>
        </w:rPr>
        <w:t>…a benchmark may</w:t>
      </w:r>
      <w:r w:rsidRPr="00B45993">
        <w:rPr>
          <w:rFonts w:ascii="Arial" w:hAnsi="Arial" w:cs="Arial"/>
          <w:i/>
          <w:spacing w:val="-34"/>
          <w:sz w:val="24"/>
        </w:rPr>
        <w:t xml:space="preserve"> </w:t>
      </w:r>
      <w:r w:rsidRPr="00B45993">
        <w:rPr>
          <w:rFonts w:ascii="Arial" w:hAnsi="Arial" w:cs="Arial"/>
          <w:i/>
          <w:sz w:val="24"/>
        </w:rPr>
        <w:t>also be found in price-discovery mechanisms such as competitive bidding or negotiated prices</w:t>
      </w:r>
      <w:r w:rsidRPr="00B45993">
        <w:rPr>
          <w:rFonts w:ascii="Arial" w:hAnsi="Arial" w:cs="Arial"/>
          <w:sz w:val="24"/>
        </w:rPr>
        <w:t>”,</w:t>
      </w:r>
      <w:r w:rsidRPr="00B45993">
        <w:rPr>
          <w:rFonts w:ascii="Arial" w:hAnsi="Arial" w:cs="Arial"/>
          <w:sz w:val="24"/>
          <w:szCs w:val="24"/>
        </w:rPr>
        <w:t xml:space="preserve"> as this</w:t>
      </w:r>
      <w:r w:rsidRPr="00B45993">
        <w:rPr>
          <w:rFonts w:ascii="Arial" w:hAnsi="Arial" w:cs="Arial"/>
          <w:spacing w:val="16"/>
          <w:sz w:val="24"/>
          <w:szCs w:val="24"/>
        </w:rPr>
        <w:t xml:space="preserve"> </w:t>
      </w:r>
      <w:r w:rsidRPr="00B45993">
        <w:rPr>
          <w:rFonts w:ascii="Arial" w:hAnsi="Arial" w:cs="Arial"/>
          <w:sz w:val="24"/>
          <w:szCs w:val="24"/>
        </w:rPr>
        <w:t>ensures</w:t>
      </w:r>
      <w:r w:rsidRPr="00B45993">
        <w:rPr>
          <w:rFonts w:ascii="Arial" w:hAnsi="Arial" w:cs="Arial"/>
          <w:spacing w:val="17"/>
          <w:sz w:val="24"/>
          <w:szCs w:val="24"/>
        </w:rPr>
        <w:t xml:space="preserve"> </w:t>
      </w:r>
      <w:r w:rsidRPr="00B45993">
        <w:rPr>
          <w:rFonts w:ascii="Arial" w:hAnsi="Arial" w:cs="Arial"/>
          <w:sz w:val="24"/>
          <w:szCs w:val="24"/>
        </w:rPr>
        <w:t>that</w:t>
      </w:r>
      <w:r w:rsidRPr="00B45993">
        <w:rPr>
          <w:rFonts w:ascii="Arial" w:hAnsi="Arial" w:cs="Arial"/>
          <w:spacing w:val="17"/>
          <w:sz w:val="24"/>
          <w:szCs w:val="24"/>
        </w:rPr>
        <w:t xml:space="preserve"> </w:t>
      </w:r>
      <w:r w:rsidRPr="00B45993">
        <w:rPr>
          <w:rFonts w:ascii="Arial" w:hAnsi="Arial" w:cs="Arial"/>
          <w:sz w:val="24"/>
          <w:szCs w:val="24"/>
        </w:rPr>
        <w:t>the</w:t>
      </w:r>
      <w:r w:rsidRPr="00B45993">
        <w:rPr>
          <w:rFonts w:ascii="Arial" w:hAnsi="Arial" w:cs="Arial"/>
          <w:spacing w:val="18"/>
          <w:sz w:val="24"/>
          <w:szCs w:val="24"/>
        </w:rPr>
        <w:t xml:space="preserve"> </w:t>
      </w:r>
      <w:r w:rsidRPr="00B45993">
        <w:rPr>
          <w:rFonts w:ascii="Arial" w:hAnsi="Arial" w:cs="Arial"/>
          <w:sz w:val="24"/>
          <w:szCs w:val="24"/>
        </w:rPr>
        <w:t>price</w:t>
      </w:r>
      <w:r w:rsidRPr="00B45993">
        <w:rPr>
          <w:rFonts w:ascii="Arial" w:hAnsi="Arial" w:cs="Arial"/>
          <w:spacing w:val="16"/>
          <w:sz w:val="24"/>
          <w:szCs w:val="24"/>
        </w:rPr>
        <w:t xml:space="preserve"> </w:t>
      </w:r>
      <w:r w:rsidRPr="00B45993">
        <w:rPr>
          <w:rFonts w:ascii="Arial" w:hAnsi="Arial" w:cs="Arial"/>
          <w:sz w:val="24"/>
          <w:szCs w:val="24"/>
        </w:rPr>
        <w:t>paid</w:t>
      </w:r>
      <w:r w:rsidRPr="00B45993">
        <w:rPr>
          <w:rFonts w:ascii="Arial" w:hAnsi="Arial" w:cs="Arial"/>
          <w:spacing w:val="19"/>
          <w:sz w:val="24"/>
          <w:szCs w:val="24"/>
        </w:rPr>
        <w:t xml:space="preserve"> </w:t>
      </w:r>
      <w:r w:rsidRPr="00B45993">
        <w:rPr>
          <w:rFonts w:ascii="Arial" w:hAnsi="Arial" w:cs="Arial"/>
          <w:sz w:val="24"/>
          <w:szCs w:val="24"/>
        </w:rPr>
        <w:t>reflects</w:t>
      </w:r>
      <w:r w:rsidRPr="00B45993">
        <w:rPr>
          <w:rFonts w:ascii="Arial" w:hAnsi="Arial" w:cs="Arial"/>
          <w:spacing w:val="20"/>
          <w:sz w:val="24"/>
          <w:szCs w:val="24"/>
        </w:rPr>
        <w:t xml:space="preserve"> </w:t>
      </w:r>
      <w:r w:rsidRPr="00B45993">
        <w:rPr>
          <w:rFonts w:ascii="Arial" w:hAnsi="Arial" w:cs="Arial"/>
          <w:sz w:val="24"/>
          <w:szCs w:val="24"/>
        </w:rPr>
        <w:t>adequate</w:t>
      </w:r>
      <w:r w:rsidRPr="00B45993">
        <w:rPr>
          <w:rFonts w:ascii="Arial" w:hAnsi="Arial" w:cs="Arial"/>
          <w:spacing w:val="21"/>
          <w:sz w:val="24"/>
          <w:szCs w:val="24"/>
        </w:rPr>
        <w:t xml:space="preserve"> </w:t>
      </w:r>
      <w:r w:rsidRPr="00B45993">
        <w:rPr>
          <w:rFonts w:ascii="Arial" w:hAnsi="Arial" w:cs="Arial"/>
          <w:sz w:val="24"/>
          <w:szCs w:val="24"/>
        </w:rPr>
        <w:t>remuneration.</w:t>
      </w:r>
      <w:r w:rsidR="00B45993">
        <w:rPr>
          <w:rStyle w:val="ab"/>
          <w:rFonts w:ascii="Arial" w:hAnsi="Arial" w:cs="Arial"/>
          <w:sz w:val="24"/>
          <w:szCs w:val="24"/>
        </w:rPr>
        <w:footnoteReference w:id="47"/>
      </w:r>
      <w:r w:rsidRPr="00B45993">
        <w:rPr>
          <w:rFonts w:ascii="Arial" w:hAnsi="Arial" w:cs="Arial"/>
          <w:sz w:val="24"/>
          <w:szCs w:val="24"/>
        </w:rPr>
        <w:t xml:space="preserve"> Consequently,</w:t>
      </w:r>
      <w:r w:rsidRPr="00B45993">
        <w:rPr>
          <w:rFonts w:ascii="Arial" w:hAnsi="Arial" w:cs="Arial"/>
          <w:spacing w:val="16"/>
          <w:sz w:val="24"/>
          <w:szCs w:val="24"/>
        </w:rPr>
        <w:t xml:space="preserve"> </w:t>
      </w:r>
      <w:r w:rsidRPr="00B45993">
        <w:rPr>
          <w:rFonts w:ascii="Arial" w:hAnsi="Arial" w:cs="Arial"/>
          <w:sz w:val="24"/>
          <w:szCs w:val="24"/>
        </w:rPr>
        <w:t>the</w:t>
      </w:r>
      <w:r w:rsidRPr="00B45993">
        <w:rPr>
          <w:rFonts w:ascii="Arial" w:hAnsi="Arial" w:cs="Arial"/>
          <w:spacing w:val="16"/>
          <w:sz w:val="24"/>
          <w:szCs w:val="24"/>
        </w:rPr>
        <w:t xml:space="preserve"> </w:t>
      </w:r>
      <w:r w:rsidRPr="00B45993">
        <w:rPr>
          <w:rFonts w:ascii="Arial" w:hAnsi="Arial" w:cs="Arial"/>
          <w:sz w:val="24"/>
          <w:szCs w:val="24"/>
        </w:rPr>
        <w:t>fact</w:t>
      </w:r>
      <w:r w:rsidRPr="00B45993">
        <w:rPr>
          <w:rFonts w:ascii="Arial" w:hAnsi="Arial" w:cs="Arial"/>
          <w:spacing w:val="19"/>
          <w:sz w:val="24"/>
          <w:szCs w:val="24"/>
        </w:rPr>
        <w:t xml:space="preserve"> </w:t>
      </w:r>
      <w:r w:rsidRPr="00B45993">
        <w:rPr>
          <w:rFonts w:ascii="Arial" w:hAnsi="Arial" w:cs="Arial"/>
          <w:sz w:val="24"/>
          <w:szCs w:val="24"/>
        </w:rPr>
        <w:t>that prices are determined through competitive bidding and negotiation, ensures that they are not distorted but instead reflect an adequate market price.</w:t>
      </w:r>
    </w:p>
    <w:p w14:paraId="221138A4" w14:textId="77777777" w:rsidR="00672C19" w:rsidRPr="00B45993" w:rsidRDefault="00672C19" w:rsidP="00B45993">
      <w:pPr>
        <w:pStyle w:val="a7"/>
        <w:tabs>
          <w:tab w:val="clear" w:pos="720"/>
          <w:tab w:val="num" w:pos="0"/>
        </w:tabs>
        <w:spacing w:before="10"/>
        <w:ind w:right="95"/>
        <w:rPr>
          <w:rFonts w:ascii="Arial" w:hAnsi="Arial" w:cs="Arial"/>
          <w:sz w:val="20"/>
        </w:rPr>
      </w:pPr>
    </w:p>
    <w:p w14:paraId="09B6AC52" w14:textId="5EBAC283" w:rsidR="00672C19" w:rsidRPr="00B45993" w:rsidRDefault="00672C19" w:rsidP="001F79D9">
      <w:pPr>
        <w:pStyle w:val="a9"/>
        <w:widowControl w:val="0"/>
        <w:numPr>
          <w:ilvl w:val="0"/>
          <w:numId w:val="39"/>
        </w:numPr>
        <w:autoSpaceDE w:val="0"/>
        <w:autoSpaceDN w:val="0"/>
        <w:ind w:left="567" w:right="95" w:hanging="567"/>
        <w:contextualSpacing w:val="0"/>
        <w:rPr>
          <w:rFonts w:ascii="Arial" w:hAnsi="Arial" w:cs="Arial"/>
          <w:sz w:val="24"/>
        </w:rPr>
      </w:pPr>
      <w:r w:rsidRPr="00B45993">
        <w:rPr>
          <w:rFonts w:ascii="Arial" w:hAnsi="Arial" w:cs="Arial"/>
          <w:sz w:val="24"/>
        </w:rPr>
        <w:t xml:space="preserve">Thus, the Applicant’s suggestion of using out-of-country LUR prices is not justifiable and the LUR prices in China should be used to review whether or not the alleged remuneration is less than adequate and thereby confers a benefit to </w:t>
      </w:r>
      <w:r w:rsidR="00B45993">
        <w:rPr>
          <w:rFonts w:ascii="Arial" w:hAnsi="Arial" w:cs="Arial" w:hint="eastAsia"/>
          <w:sz w:val="24"/>
        </w:rPr>
        <w:t>Excavator</w:t>
      </w:r>
      <w:r w:rsidRPr="00B45993">
        <w:rPr>
          <w:rFonts w:ascii="Arial" w:hAnsi="Arial" w:cs="Arial"/>
          <w:spacing w:val="-3"/>
          <w:sz w:val="24"/>
        </w:rPr>
        <w:t xml:space="preserve"> </w:t>
      </w:r>
      <w:r w:rsidRPr="00B45993">
        <w:rPr>
          <w:rFonts w:ascii="Arial" w:hAnsi="Arial" w:cs="Arial"/>
          <w:sz w:val="24"/>
        </w:rPr>
        <w:t>producers.</w:t>
      </w:r>
    </w:p>
    <w:p w14:paraId="3FFD76DE" w14:textId="77777777" w:rsidR="00672C19" w:rsidRPr="00B45993" w:rsidRDefault="00672C19" w:rsidP="00B45993">
      <w:pPr>
        <w:pStyle w:val="a7"/>
        <w:tabs>
          <w:tab w:val="clear" w:pos="720"/>
          <w:tab w:val="num" w:pos="0"/>
        </w:tabs>
        <w:ind w:right="95"/>
        <w:rPr>
          <w:rFonts w:ascii="Arial" w:hAnsi="Arial" w:cs="Arial"/>
          <w:sz w:val="21"/>
        </w:rPr>
      </w:pPr>
    </w:p>
    <w:p w14:paraId="79C5FB83" w14:textId="58F1C2A8" w:rsidR="00672C19" w:rsidRPr="00B45993" w:rsidRDefault="00672C19" w:rsidP="001F79D9">
      <w:pPr>
        <w:pStyle w:val="a9"/>
        <w:widowControl w:val="0"/>
        <w:numPr>
          <w:ilvl w:val="0"/>
          <w:numId w:val="39"/>
        </w:numPr>
        <w:autoSpaceDE w:val="0"/>
        <w:autoSpaceDN w:val="0"/>
        <w:ind w:left="567" w:right="95" w:hanging="567"/>
        <w:contextualSpacing w:val="0"/>
        <w:rPr>
          <w:rFonts w:ascii="Arial" w:hAnsi="Arial" w:cs="Arial"/>
          <w:sz w:val="24"/>
        </w:rPr>
      </w:pPr>
      <w:r w:rsidRPr="00B45993">
        <w:rPr>
          <w:rFonts w:ascii="Arial" w:hAnsi="Arial" w:cs="Arial"/>
          <w:sz w:val="24"/>
        </w:rPr>
        <w:t xml:space="preserve">In sum, the Application provides no evidence regarding benefit to the exporting producers of </w:t>
      </w:r>
      <w:r w:rsidR="00A91114">
        <w:rPr>
          <w:rFonts w:ascii="Arial" w:hAnsi="Arial" w:cs="Arial" w:hint="eastAsia"/>
          <w:sz w:val="24"/>
        </w:rPr>
        <w:t>Excavator</w:t>
      </w:r>
      <w:r w:rsidRPr="00B45993">
        <w:rPr>
          <w:rFonts w:ascii="Arial" w:hAnsi="Arial" w:cs="Arial"/>
          <w:sz w:val="24"/>
        </w:rPr>
        <w:t xml:space="preserve"> and specificity. Therefore, any investigation of this alleged program is inconsistent with Articles 11.2 and 11.3 of the SCM Agreement.</w:t>
      </w:r>
    </w:p>
    <w:p w14:paraId="7D364CA3" w14:textId="3B4EBAC4" w:rsidR="00672C19" w:rsidRPr="00672C19" w:rsidRDefault="00672C19" w:rsidP="00B45993">
      <w:pPr>
        <w:pStyle w:val="a9"/>
        <w:widowControl w:val="0"/>
        <w:tabs>
          <w:tab w:val="left" w:pos="917"/>
        </w:tabs>
        <w:autoSpaceDE w:val="0"/>
        <w:autoSpaceDN w:val="0"/>
        <w:ind w:left="644" w:right="95"/>
        <w:contextualSpacing w:val="0"/>
        <w:rPr>
          <w:rFonts w:ascii="Arial" w:hAnsi="Arial" w:cs="Arial"/>
          <w:i/>
          <w:sz w:val="24"/>
        </w:rPr>
      </w:pPr>
    </w:p>
    <w:p w14:paraId="27036A3D" w14:textId="4CE40C8C" w:rsidR="00672C19" w:rsidRDefault="004015FF" w:rsidP="004015FF">
      <w:pPr>
        <w:pStyle w:val="3"/>
        <w:spacing w:before="0"/>
        <w:rPr>
          <w:rFonts w:ascii="Arial" w:eastAsiaTheme="minorEastAsia" w:hAnsi="Arial" w:cs="Arial"/>
          <w:b/>
          <w:bCs/>
          <w:color w:val="auto"/>
        </w:rPr>
      </w:pPr>
      <w:bookmarkStart w:id="36" w:name="_Toc161355131"/>
      <w:r w:rsidRPr="0038092C">
        <w:rPr>
          <w:rFonts w:ascii="Arial" w:eastAsia="Times New Roman" w:hAnsi="Arial" w:cs="Arial"/>
          <w:b/>
          <w:bCs/>
          <w:color w:val="auto"/>
          <w:lang w:eastAsia="en-US"/>
        </w:rPr>
        <w:t xml:space="preserve">Alleged provision of </w:t>
      </w:r>
      <w:r>
        <w:rPr>
          <w:rFonts w:ascii="Arial" w:eastAsiaTheme="minorEastAsia" w:hAnsi="Arial" w:cs="Arial" w:hint="eastAsia"/>
          <w:b/>
          <w:bCs/>
          <w:color w:val="auto"/>
        </w:rPr>
        <w:t>raw material</w:t>
      </w:r>
      <w:r w:rsidRPr="0038092C">
        <w:rPr>
          <w:rFonts w:ascii="Arial" w:eastAsia="Times New Roman" w:hAnsi="Arial" w:cs="Arial"/>
          <w:b/>
          <w:bCs/>
          <w:color w:val="auto"/>
          <w:lang w:eastAsia="en-US"/>
        </w:rPr>
        <w:t xml:space="preserve"> at LTAR</w:t>
      </w:r>
      <w:bookmarkEnd w:id="36"/>
    </w:p>
    <w:p w14:paraId="5A17A60A" w14:textId="77777777" w:rsidR="00B35E4F" w:rsidRPr="00B35E4F" w:rsidRDefault="00B35E4F" w:rsidP="00B35E4F">
      <w:pPr>
        <w:pStyle w:val="a9"/>
        <w:widowControl w:val="0"/>
        <w:autoSpaceDE w:val="0"/>
        <w:autoSpaceDN w:val="0"/>
        <w:ind w:left="644" w:right="95"/>
        <w:rPr>
          <w:rFonts w:ascii="Arial" w:hAnsi="Arial" w:cs="Arial"/>
          <w:sz w:val="24"/>
          <w:szCs w:val="24"/>
        </w:rPr>
      </w:pPr>
    </w:p>
    <w:p w14:paraId="0DE6D9AB" w14:textId="6744EBD1" w:rsidR="002A1172" w:rsidRPr="002A1172" w:rsidRDefault="004015FF" w:rsidP="001F79D9">
      <w:pPr>
        <w:pStyle w:val="a9"/>
        <w:widowControl w:val="0"/>
        <w:numPr>
          <w:ilvl w:val="0"/>
          <w:numId w:val="39"/>
        </w:numPr>
        <w:autoSpaceDE w:val="0"/>
        <w:autoSpaceDN w:val="0"/>
        <w:ind w:right="95" w:hanging="644"/>
        <w:rPr>
          <w:rFonts w:ascii="Arial" w:hAnsi="Arial" w:cs="Arial"/>
          <w:sz w:val="24"/>
          <w:szCs w:val="24"/>
        </w:rPr>
      </w:pPr>
      <w:r w:rsidRPr="002A1172">
        <w:rPr>
          <w:rFonts w:ascii="Arial" w:hAnsi="Arial" w:cs="Arial"/>
          <w:sz w:val="24"/>
        </w:rPr>
        <w:t>The Applicant alleges that, “</w:t>
      </w:r>
      <w:r w:rsidR="002A1172" w:rsidRPr="002A1172">
        <w:rPr>
          <w:rFonts w:ascii="Arial" w:hAnsi="Arial" w:cs="Arial"/>
          <w:i/>
          <w:iCs/>
          <w:sz w:val="24"/>
        </w:rPr>
        <w:t>Steel provided to Chinese Excavator manufacturers by Chinese steel</w:t>
      </w:r>
      <w:r w:rsidR="002A1172" w:rsidRPr="002A1172">
        <w:rPr>
          <w:rFonts w:ascii="Arial" w:hAnsi="Arial" w:cs="Arial" w:hint="eastAsia"/>
          <w:i/>
          <w:iCs/>
          <w:sz w:val="24"/>
        </w:rPr>
        <w:t xml:space="preserve"> </w:t>
      </w:r>
      <w:r w:rsidR="002A1172" w:rsidRPr="002A1172">
        <w:rPr>
          <w:rFonts w:ascii="Arial" w:hAnsi="Arial" w:cs="Arial"/>
          <w:i/>
          <w:iCs/>
          <w:sz w:val="24"/>
        </w:rPr>
        <w:t>producers is ultimately provided by the GOC, regardless of the ownership</w:t>
      </w:r>
      <w:r w:rsidR="00AA048D">
        <w:rPr>
          <w:rFonts w:ascii="Arial" w:hAnsi="Arial" w:cs="Arial" w:hint="eastAsia"/>
          <w:i/>
          <w:iCs/>
          <w:sz w:val="24"/>
        </w:rPr>
        <w:t xml:space="preserve"> </w:t>
      </w:r>
      <w:r w:rsidR="00AA048D" w:rsidRPr="00AA048D">
        <w:rPr>
          <w:rFonts w:ascii="Arial" w:hAnsi="Arial" w:cs="Arial"/>
          <w:i/>
          <w:iCs/>
          <w:sz w:val="24"/>
        </w:rPr>
        <w:t>structure of a given Chinese steel producer</w:t>
      </w:r>
      <w:r w:rsidR="002A1172" w:rsidRPr="002A1172">
        <w:rPr>
          <w:rFonts w:ascii="Arial" w:hAnsi="Arial" w:cs="Arial"/>
          <w:i/>
          <w:iCs/>
          <w:sz w:val="24"/>
        </w:rPr>
        <w:t>”</w:t>
      </w:r>
      <w:r w:rsidR="002A1172" w:rsidRPr="002A1172">
        <w:rPr>
          <w:rFonts w:ascii="Arial" w:hAnsi="Arial" w:cs="Arial" w:hint="eastAsia"/>
          <w:i/>
          <w:iCs/>
          <w:sz w:val="24"/>
        </w:rPr>
        <w:t xml:space="preserve"> </w:t>
      </w:r>
      <w:r w:rsidR="002A1172">
        <w:rPr>
          <w:rStyle w:val="ab"/>
          <w:rFonts w:ascii="Arial" w:hAnsi="Arial" w:cs="Arial"/>
          <w:i/>
          <w:iCs/>
          <w:sz w:val="24"/>
        </w:rPr>
        <w:footnoteReference w:id="48"/>
      </w:r>
      <w:r w:rsidR="002A1172">
        <w:rPr>
          <w:rFonts w:ascii="Arial" w:hAnsi="Arial" w:cs="Arial" w:hint="eastAsia"/>
          <w:i/>
          <w:iCs/>
          <w:sz w:val="24"/>
        </w:rPr>
        <w:t xml:space="preserve">, </w:t>
      </w:r>
      <w:r w:rsidR="002A1172" w:rsidRPr="002A1172">
        <w:rPr>
          <w:rFonts w:ascii="Arial" w:hAnsi="Arial" w:cs="Arial"/>
          <w:i/>
          <w:iCs/>
          <w:sz w:val="24"/>
          <w:szCs w:val="24"/>
        </w:rPr>
        <w:t xml:space="preserve"> “which results in a price of steel on the Chinese market that is significantly distorted”</w:t>
      </w:r>
      <w:r w:rsidR="002A1172">
        <w:rPr>
          <w:rStyle w:val="ab"/>
          <w:rFonts w:ascii="Arial" w:hAnsi="Arial" w:cs="Arial"/>
          <w:i/>
          <w:iCs/>
          <w:sz w:val="24"/>
          <w:szCs w:val="24"/>
        </w:rPr>
        <w:footnoteReference w:id="49"/>
      </w:r>
      <w:r w:rsidR="002A1172" w:rsidRPr="002A1172">
        <w:rPr>
          <w:rFonts w:ascii="Arial" w:hAnsi="Arial" w:cs="Arial"/>
          <w:i/>
          <w:iCs/>
          <w:sz w:val="24"/>
          <w:szCs w:val="24"/>
        </w:rPr>
        <w:t xml:space="preserve"> and</w:t>
      </w:r>
      <w:r w:rsidR="002A1172" w:rsidRPr="002A1172">
        <w:rPr>
          <w:rFonts w:ascii="Arial" w:hAnsi="Arial" w:cs="Arial"/>
          <w:sz w:val="24"/>
          <w:szCs w:val="24"/>
        </w:rPr>
        <w:t xml:space="preserve"> thus</w:t>
      </w:r>
      <w:r w:rsidR="002A1172" w:rsidRPr="002A1172">
        <w:rPr>
          <w:rFonts w:ascii="Arial" w:hAnsi="Arial" w:cs="Arial"/>
          <w:i/>
          <w:iCs/>
          <w:sz w:val="24"/>
          <w:szCs w:val="24"/>
        </w:rPr>
        <w:t xml:space="preserve"> “the provision of steel at LTAR constitutes an important countervailable subsidy”</w:t>
      </w:r>
      <w:r w:rsidR="002A1172">
        <w:rPr>
          <w:rStyle w:val="ab"/>
          <w:rFonts w:ascii="Arial" w:hAnsi="Arial" w:cs="Arial"/>
          <w:i/>
          <w:iCs/>
          <w:sz w:val="24"/>
          <w:szCs w:val="24"/>
        </w:rPr>
        <w:footnoteReference w:id="50"/>
      </w:r>
      <w:r w:rsidR="002A1172" w:rsidRPr="002A1172">
        <w:rPr>
          <w:rFonts w:ascii="Arial" w:hAnsi="Arial" w:cs="Arial"/>
          <w:i/>
          <w:iCs/>
          <w:sz w:val="24"/>
          <w:szCs w:val="24"/>
        </w:rPr>
        <w:t>.</w:t>
      </w:r>
    </w:p>
    <w:p w14:paraId="28F05A35" w14:textId="77777777" w:rsidR="002A1172" w:rsidRPr="002A1172" w:rsidRDefault="002A1172" w:rsidP="002A1172">
      <w:pPr>
        <w:pStyle w:val="a9"/>
        <w:widowControl w:val="0"/>
        <w:autoSpaceDE w:val="0"/>
        <w:autoSpaceDN w:val="0"/>
        <w:ind w:left="644" w:right="95"/>
        <w:rPr>
          <w:rFonts w:ascii="Arial" w:hAnsi="Arial" w:cs="Arial"/>
          <w:sz w:val="24"/>
        </w:rPr>
      </w:pPr>
    </w:p>
    <w:p w14:paraId="365DE799" w14:textId="0CD580DE" w:rsidR="004015FF" w:rsidRPr="002A1172" w:rsidRDefault="004015FF" w:rsidP="001F79D9">
      <w:pPr>
        <w:pStyle w:val="a9"/>
        <w:widowControl w:val="0"/>
        <w:numPr>
          <w:ilvl w:val="0"/>
          <w:numId w:val="39"/>
        </w:numPr>
        <w:autoSpaceDE w:val="0"/>
        <w:autoSpaceDN w:val="0"/>
        <w:ind w:right="95" w:hanging="644"/>
        <w:contextualSpacing w:val="0"/>
        <w:rPr>
          <w:rFonts w:ascii="Arial" w:hAnsi="Arial" w:cs="Arial"/>
          <w:sz w:val="24"/>
        </w:rPr>
      </w:pPr>
      <w:r w:rsidRPr="002A1172">
        <w:rPr>
          <w:rFonts w:ascii="Arial" w:hAnsi="Arial" w:cs="Arial"/>
          <w:sz w:val="24"/>
        </w:rPr>
        <w:t>The GOC firmly disagrees with the claims in the Application based on mere</w:t>
      </w:r>
      <w:r w:rsidRPr="002A1172">
        <w:rPr>
          <w:rFonts w:ascii="Arial" w:hAnsi="Arial" w:cs="Arial"/>
          <w:spacing w:val="-19"/>
          <w:sz w:val="24"/>
        </w:rPr>
        <w:t xml:space="preserve"> </w:t>
      </w:r>
      <w:r w:rsidRPr="002A1172">
        <w:rPr>
          <w:rFonts w:ascii="Arial" w:hAnsi="Arial" w:cs="Arial"/>
          <w:sz w:val="24"/>
        </w:rPr>
        <w:t>speculation.</w:t>
      </w:r>
    </w:p>
    <w:p w14:paraId="4B8AA934" w14:textId="77777777" w:rsidR="004015FF" w:rsidRPr="002A1172" w:rsidRDefault="004015FF" w:rsidP="002A1172">
      <w:pPr>
        <w:pStyle w:val="a7"/>
        <w:tabs>
          <w:tab w:val="clear" w:pos="720"/>
        </w:tabs>
        <w:spacing w:before="10"/>
        <w:ind w:left="567" w:right="95" w:hanging="692"/>
        <w:rPr>
          <w:rFonts w:ascii="Arial" w:hAnsi="Arial" w:cs="Arial"/>
          <w:sz w:val="20"/>
        </w:rPr>
      </w:pPr>
    </w:p>
    <w:p w14:paraId="218A1AD1" w14:textId="5F36172B" w:rsidR="004015FF" w:rsidRPr="002A1172" w:rsidRDefault="004015FF" w:rsidP="001F79D9">
      <w:pPr>
        <w:pStyle w:val="a9"/>
        <w:widowControl w:val="0"/>
        <w:numPr>
          <w:ilvl w:val="0"/>
          <w:numId w:val="39"/>
        </w:numPr>
        <w:autoSpaceDE w:val="0"/>
        <w:autoSpaceDN w:val="0"/>
        <w:ind w:right="95" w:hanging="644"/>
        <w:contextualSpacing w:val="0"/>
        <w:rPr>
          <w:rFonts w:ascii="Arial" w:hAnsi="Arial" w:cs="Arial"/>
          <w:sz w:val="24"/>
        </w:rPr>
      </w:pPr>
      <w:r w:rsidRPr="002A1172">
        <w:rPr>
          <w:rFonts w:ascii="Arial" w:hAnsi="Arial" w:cs="Arial"/>
          <w:sz w:val="24"/>
        </w:rPr>
        <w:t xml:space="preserve">In this regard, first, as already mentioned in section 3.2 above, </w:t>
      </w:r>
      <w:r w:rsidR="00AA048D">
        <w:rPr>
          <w:rFonts w:ascii="Arial" w:hAnsi="Arial" w:cs="Arial" w:hint="eastAsia"/>
          <w:sz w:val="24"/>
        </w:rPr>
        <w:t>Excavator is not in encouraged industry</w:t>
      </w:r>
      <w:r w:rsidRPr="002A1172">
        <w:rPr>
          <w:rFonts w:ascii="Arial" w:hAnsi="Arial" w:cs="Arial"/>
          <w:sz w:val="24"/>
        </w:rPr>
        <w:t xml:space="preserve">. Moreover, the Applicant has not established that </w:t>
      </w:r>
      <w:r w:rsidR="00AA048D">
        <w:rPr>
          <w:rFonts w:ascii="Arial" w:hAnsi="Arial" w:cs="Arial" w:hint="eastAsia"/>
          <w:sz w:val="24"/>
        </w:rPr>
        <w:t>steel components</w:t>
      </w:r>
      <w:r w:rsidRPr="002A1172">
        <w:rPr>
          <w:rFonts w:ascii="Arial" w:hAnsi="Arial" w:cs="Arial"/>
          <w:sz w:val="24"/>
        </w:rPr>
        <w:t xml:space="preserve"> were provided at </w:t>
      </w:r>
      <w:r w:rsidRPr="002A1172">
        <w:rPr>
          <w:rFonts w:ascii="Arial" w:hAnsi="Arial" w:cs="Arial"/>
          <w:spacing w:val="-9"/>
          <w:sz w:val="24"/>
        </w:rPr>
        <w:t>LTAR.</w:t>
      </w:r>
      <w:r w:rsidRPr="002A1172">
        <w:rPr>
          <w:rFonts w:ascii="Arial" w:hAnsi="Arial" w:cs="Arial"/>
          <w:spacing w:val="-17"/>
          <w:sz w:val="24"/>
        </w:rPr>
        <w:t xml:space="preserve"> </w:t>
      </w:r>
      <w:r w:rsidRPr="002A1172">
        <w:rPr>
          <w:rFonts w:ascii="Arial" w:hAnsi="Arial" w:cs="Arial"/>
          <w:sz w:val="24"/>
        </w:rPr>
        <w:t>The</w:t>
      </w:r>
      <w:r w:rsidRPr="002A1172">
        <w:rPr>
          <w:rFonts w:ascii="Arial" w:hAnsi="Arial" w:cs="Arial"/>
          <w:spacing w:val="-12"/>
          <w:sz w:val="24"/>
        </w:rPr>
        <w:t xml:space="preserve"> </w:t>
      </w:r>
      <w:r w:rsidRPr="002A1172">
        <w:rPr>
          <w:rFonts w:ascii="Arial" w:hAnsi="Arial" w:cs="Arial"/>
          <w:sz w:val="24"/>
        </w:rPr>
        <w:t>nature</w:t>
      </w:r>
      <w:r w:rsidRPr="002A1172">
        <w:rPr>
          <w:rFonts w:ascii="Arial" w:hAnsi="Arial" w:cs="Arial"/>
          <w:spacing w:val="-12"/>
          <w:sz w:val="24"/>
        </w:rPr>
        <w:t xml:space="preserve"> </w:t>
      </w:r>
      <w:r w:rsidRPr="002A1172">
        <w:rPr>
          <w:rFonts w:ascii="Arial" w:hAnsi="Arial" w:cs="Arial"/>
          <w:sz w:val="24"/>
        </w:rPr>
        <w:t>and</w:t>
      </w:r>
      <w:r w:rsidRPr="002A1172">
        <w:rPr>
          <w:rFonts w:ascii="Arial" w:hAnsi="Arial" w:cs="Arial"/>
          <w:spacing w:val="-9"/>
          <w:sz w:val="24"/>
        </w:rPr>
        <w:t xml:space="preserve"> </w:t>
      </w:r>
      <w:r w:rsidRPr="002A1172">
        <w:rPr>
          <w:rFonts w:ascii="Arial" w:hAnsi="Arial" w:cs="Arial"/>
          <w:sz w:val="24"/>
        </w:rPr>
        <w:t>existence</w:t>
      </w:r>
      <w:r w:rsidRPr="002A1172">
        <w:rPr>
          <w:rFonts w:ascii="Arial" w:hAnsi="Arial" w:cs="Arial"/>
          <w:spacing w:val="-13"/>
          <w:sz w:val="24"/>
        </w:rPr>
        <w:t xml:space="preserve"> </w:t>
      </w:r>
      <w:r w:rsidRPr="002A1172">
        <w:rPr>
          <w:rFonts w:ascii="Arial" w:hAnsi="Arial" w:cs="Arial"/>
          <w:sz w:val="24"/>
        </w:rPr>
        <w:t>of</w:t>
      </w:r>
      <w:r w:rsidRPr="002A1172">
        <w:rPr>
          <w:rFonts w:ascii="Arial" w:hAnsi="Arial" w:cs="Arial"/>
          <w:spacing w:val="-12"/>
          <w:sz w:val="24"/>
        </w:rPr>
        <w:t xml:space="preserve"> </w:t>
      </w:r>
      <w:r w:rsidRPr="002A1172">
        <w:rPr>
          <w:rFonts w:ascii="Arial" w:hAnsi="Arial" w:cs="Arial"/>
          <w:sz w:val="24"/>
        </w:rPr>
        <w:t>the</w:t>
      </w:r>
      <w:r w:rsidRPr="002A1172">
        <w:rPr>
          <w:rFonts w:ascii="Arial" w:hAnsi="Arial" w:cs="Arial"/>
          <w:spacing w:val="-9"/>
          <w:sz w:val="24"/>
        </w:rPr>
        <w:t xml:space="preserve"> </w:t>
      </w:r>
      <w:r w:rsidRPr="002A1172">
        <w:rPr>
          <w:rFonts w:ascii="Arial" w:hAnsi="Arial" w:cs="Arial"/>
          <w:sz w:val="24"/>
        </w:rPr>
        <w:t>alleged</w:t>
      </w:r>
      <w:r w:rsidRPr="002A1172">
        <w:rPr>
          <w:rFonts w:ascii="Arial" w:hAnsi="Arial" w:cs="Arial"/>
          <w:spacing w:val="-10"/>
          <w:sz w:val="24"/>
        </w:rPr>
        <w:t xml:space="preserve"> </w:t>
      </w:r>
      <w:r w:rsidRPr="002A1172">
        <w:rPr>
          <w:rFonts w:ascii="Arial" w:hAnsi="Arial" w:cs="Arial"/>
          <w:sz w:val="24"/>
        </w:rPr>
        <w:t>subsidy</w:t>
      </w:r>
      <w:r w:rsidRPr="002A1172">
        <w:rPr>
          <w:rFonts w:ascii="Arial" w:hAnsi="Arial" w:cs="Arial"/>
          <w:spacing w:val="-11"/>
          <w:sz w:val="24"/>
        </w:rPr>
        <w:t xml:space="preserve"> </w:t>
      </w:r>
      <w:r w:rsidRPr="002A1172">
        <w:rPr>
          <w:rFonts w:ascii="Arial" w:hAnsi="Arial" w:cs="Arial"/>
          <w:sz w:val="24"/>
        </w:rPr>
        <w:t>had</w:t>
      </w:r>
      <w:r w:rsidRPr="002A1172">
        <w:rPr>
          <w:rFonts w:ascii="Arial" w:hAnsi="Arial" w:cs="Arial"/>
          <w:spacing w:val="-11"/>
          <w:sz w:val="24"/>
        </w:rPr>
        <w:t xml:space="preserve"> </w:t>
      </w:r>
      <w:r w:rsidRPr="002A1172">
        <w:rPr>
          <w:rFonts w:ascii="Arial" w:hAnsi="Arial" w:cs="Arial"/>
          <w:sz w:val="24"/>
        </w:rPr>
        <w:t>to</w:t>
      </w:r>
      <w:r w:rsidRPr="002A1172">
        <w:rPr>
          <w:rFonts w:ascii="Arial" w:hAnsi="Arial" w:cs="Arial"/>
          <w:spacing w:val="-11"/>
          <w:sz w:val="24"/>
        </w:rPr>
        <w:t xml:space="preserve"> </w:t>
      </w:r>
      <w:r w:rsidRPr="002A1172">
        <w:rPr>
          <w:rFonts w:ascii="Arial" w:hAnsi="Arial" w:cs="Arial"/>
          <w:sz w:val="24"/>
        </w:rPr>
        <w:t>be</w:t>
      </w:r>
      <w:r w:rsidRPr="002A1172">
        <w:rPr>
          <w:rFonts w:ascii="Arial" w:hAnsi="Arial" w:cs="Arial"/>
          <w:spacing w:val="-12"/>
          <w:sz w:val="24"/>
        </w:rPr>
        <w:t xml:space="preserve"> </w:t>
      </w:r>
      <w:r w:rsidRPr="002A1172">
        <w:rPr>
          <w:rFonts w:ascii="Arial" w:hAnsi="Arial" w:cs="Arial"/>
          <w:sz w:val="24"/>
        </w:rPr>
        <w:t>established</w:t>
      </w:r>
      <w:r w:rsidRPr="002A1172">
        <w:rPr>
          <w:rFonts w:ascii="Arial" w:hAnsi="Arial" w:cs="Arial"/>
          <w:spacing w:val="-10"/>
          <w:sz w:val="24"/>
        </w:rPr>
        <w:t xml:space="preserve"> </w:t>
      </w:r>
      <w:r w:rsidRPr="002A1172">
        <w:rPr>
          <w:rFonts w:ascii="Arial" w:hAnsi="Arial" w:cs="Arial"/>
          <w:sz w:val="24"/>
        </w:rPr>
        <w:t>with</w:t>
      </w:r>
      <w:r w:rsidRPr="002A1172">
        <w:rPr>
          <w:rFonts w:ascii="Arial" w:hAnsi="Arial" w:cs="Arial"/>
          <w:spacing w:val="-11"/>
          <w:sz w:val="24"/>
        </w:rPr>
        <w:t xml:space="preserve"> </w:t>
      </w:r>
      <w:r w:rsidRPr="002A1172">
        <w:rPr>
          <w:rFonts w:ascii="Arial" w:hAnsi="Arial" w:cs="Arial"/>
          <w:sz w:val="24"/>
        </w:rPr>
        <w:t>regard</w:t>
      </w:r>
      <w:r w:rsidRPr="002A1172">
        <w:rPr>
          <w:rFonts w:ascii="Arial" w:hAnsi="Arial" w:cs="Arial"/>
          <w:spacing w:val="-12"/>
          <w:sz w:val="24"/>
        </w:rPr>
        <w:t xml:space="preserve"> </w:t>
      </w:r>
      <w:r w:rsidRPr="002A1172">
        <w:rPr>
          <w:rFonts w:ascii="Arial" w:hAnsi="Arial" w:cs="Arial"/>
          <w:sz w:val="24"/>
        </w:rPr>
        <w:t>to</w:t>
      </w:r>
      <w:r w:rsidRPr="002A1172">
        <w:rPr>
          <w:rFonts w:ascii="Arial" w:hAnsi="Arial" w:cs="Arial"/>
          <w:spacing w:val="-12"/>
          <w:sz w:val="24"/>
        </w:rPr>
        <w:t xml:space="preserve"> </w:t>
      </w:r>
      <w:r w:rsidR="00AA048D">
        <w:rPr>
          <w:rFonts w:ascii="Arial" w:hAnsi="Arial" w:cs="Arial" w:hint="eastAsia"/>
          <w:sz w:val="24"/>
        </w:rPr>
        <w:t>the specific input</w:t>
      </w:r>
      <w:r w:rsidRPr="002A1172">
        <w:rPr>
          <w:rFonts w:ascii="Arial" w:hAnsi="Arial" w:cs="Arial"/>
          <w:sz w:val="24"/>
        </w:rPr>
        <w:t>.</w:t>
      </w:r>
    </w:p>
    <w:p w14:paraId="4A337F1E" w14:textId="77777777" w:rsidR="004015FF" w:rsidRPr="002A1172" w:rsidRDefault="004015FF" w:rsidP="002A1172">
      <w:pPr>
        <w:pStyle w:val="a7"/>
        <w:tabs>
          <w:tab w:val="clear" w:pos="720"/>
        </w:tabs>
        <w:spacing w:before="10"/>
        <w:ind w:left="567" w:right="95" w:hanging="692"/>
        <w:rPr>
          <w:rFonts w:ascii="Arial" w:hAnsi="Arial" w:cs="Arial"/>
          <w:sz w:val="20"/>
        </w:rPr>
      </w:pPr>
    </w:p>
    <w:p w14:paraId="29AB2D88" w14:textId="68CD6643" w:rsidR="004015FF" w:rsidRDefault="004015FF" w:rsidP="001F79D9">
      <w:pPr>
        <w:pStyle w:val="a9"/>
        <w:widowControl w:val="0"/>
        <w:numPr>
          <w:ilvl w:val="0"/>
          <w:numId w:val="39"/>
        </w:numPr>
        <w:autoSpaceDE w:val="0"/>
        <w:autoSpaceDN w:val="0"/>
        <w:ind w:right="95" w:hanging="644"/>
        <w:contextualSpacing w:val="0"/>
        <w:rPr>
          <w:rFonts w:ascii="Arial" w:hAnsi="Arial" w:cs="Arial"/>
          <w:sz w:val="24"/>
        </w:rPr>
      </w:pPr>
      <w:r w:rsidRPr="00AA048D">
        <w:rPr>
          <w:rFonts w:ascii="Arial" w:hAnsi="Arial" w:cs="Arial"/>
          <w:sz w:val="24"/>
        </w:rPr>
        <w:t xml:space="preserve">Second, the Applicant has not provided any evidence of the existence of this subsidy in terms of the financial contribution by a “public body”. </w:t>
      </w:r>
    </w:p>
    <w:p w14:paraId="3D2F8D0E" w14:textId="77777777" w:rsidR="00AA048D" w:rsidRPr="00AA048D" w:rsidRDefault="00AA048D" w:rsidP="00AA048D">
      <w:pPr>
        <w:pStyle w:val="a9"/>
        <w:rPr>
          <w:rFonts w:ascii="Arial" w:hAnsi="Arial" w:cs="Arial"/>
          <w:sz w:val="24"/>
        </w:rPr>
      </w:pPr>
    </w:p>
    <w:p w14:paraId="0C6DBA79" w14:textId="70137FA3" w:rsidR="004015FF" w:rsidRPr="00AA048D" w:rsidRDefault="004015FF" w:rsidP="001F79D9">
      <w:pPr>
        <w:pStyle w:val="a9"/>
        <w:widowControl w:val="0"/>
        <w:numPr>
          <w:ilvl w:val="0"/>
          <w:numId w:val="39"/>
        </w:numPr>
        <w:autoSpaceDE w:val="0"/>
        <w:autoSpaceDN w:val="0"/>
        <w:spacing w:before="90"/>
        <w:ind w:right="95" w:hanging="644"/>
        <w:rPr>
          <w:rFonts w:ascii="Arial" w:hAnsi="Arial" w:cs="Arial"/>
          <w:sz w:val="24"/>
        </w:rPr>
      </w:pPr>
      <w:r w:rsidRPr="00AA048D">
        <w:rPr>
          <w:rFonts w:ascii="Arial" w:hAnsi="Arial" w:cs="Arial"/>
          <w:sz w:val="24"/>
        </w:rPr>
        <w:t xml:space="preserve">Apart from the fact that the mere reference to </w:t>
      </w:r>
      <w:r w:rsidR="00AA048D">
        <w:rPr>
          <w:rFonts w:ascii="Arial" w:hAnsi="Arial" w:cs="Arial" w:hint="eastAsia"/>
          <w:sz w:val="24"/>
        </w:rPr>
        <w:t>steel</w:t>
      </w:r>
      <w:r w:rsidRPr="00AA048D">
        <w:rPr>
          <w:rFonts w:ascii="Arial" w:hAnsi="Arial" w:cs="Arial"/>
          <w:sz w:val="24"/>
        </w:rPr>
        <w:t xml:space="preserve"> producers</w:t>
      </w:r>
      <w:r w:rsidR="00AA048D">
        <w:rPr>
          <w:rFonts w:ascii="Arial" w:hAnsi="Arial" w:cs="Arial" w:hint="eastAsia"/>
          <w:sz w:val="24"/>
        </w:rPr>
        <w:t xml:space="preserve"> being SOEs</w:t>
      </w:r>
      <w:r w:rsidRPr="00AA048D">
        <w:rPr>
          <w:rFonts w:ascii="Arial" w:hAnsi="Arial" w:cs="Arial"/>
          <w:sz w:val="24"/>
        </w:rPr>
        <w:t xml:space="preserve"> is wholly insufficient to make the broad-brush claim that all input providers </w:t>
      </w:r>
      <w:r w:rsidRPr="00AA048D">
        <w:rPr>
          <w:rFonts w:ascii="Arial" w:hAnsi="Arial" w:cs="Arial"/>
          <w:sz w:val="24"/>
        </w:rPr>
        <w:lastRenderedPageBreak/>
        <w:t xml:space="preserve">provide/provided the suggested inputs to all </w:t>
      </w:r>
      <w:r w:rsidR="00AA048D">
        <w:rPr>
          <w:rFonts w:ascii="Arial" w:hAnsi="Arial" w:cs="Arial" w:hint="eastAsia"/>
          <w:sz w:val="24"/>
        </w:rPr>
        <w:t>Excavator</w:t>
      </w:r>
      <w:r w:rsidRPr="00AA048D">
        <w:rPr>
          <w:rFonts w:ascii="Arial" w:hAnsi="Arial" w:cs="Arial"/>
          <w:sz w:val="24"/>
        </w:rPr>
        <w:t xml:space="preserve"> producers at LTAR, the GOC reiterates that, as noted by the Appellate Body in </w:t>
      </w:r>
      <w:r w:rsidRPr="00AA048D">
        <w:rPr>
          <w:rFonts w:ascii="Arial" w:hAnsi="Arial" w:cs="Arial"/>
          <w:i/>
          <w:sz w:val="24"/>
        </w:rPr>
        <w:t>US – Carbon Steel (India)</w:t>
      </w:r>
      <w:r w:rsidRPr="00AA048D">
        <w:rPr>
          <w:rFonts w:ascii="Arial" w:hAnsi="Arial" w:cs="Arial"/>
          <w:sz w:val="24"/>
        </w:rPr>
        <w:t xml:space="preserve">, shareholding, administrative or meaningful control is not the decisive factor for establishing the existence of a “public body”. </w:t>
      </w:r>
      <w:r w:rsidR="00CF2F8C">
        <w:rPr>
          <w:rStyle w:val="ab"/>
          <w:rFonts w:ascii="Arial" w:hAnsi="Arial" w:cs="Arial"/>
          <w:sz w:val="24"/>
        </w:rPr>
        <w:footnoteReference w:id="51"/>
      </w:r>
      <w:r w:rsidRPr="00AA048D">
        <w:rPr>
          <w:rFonts w:ascii="Arial" w:hAnsi="Arial" w:cs="Arial"/>
          <w:sz w:val="24"/>
        </w:rPr>
        <w:t xml:space="preserve"> Thus, the Applicant’s allegation that </w:t>
      </w:r>
      <w:r w:rsidR="00CF2F8C">
        <w:rPr>
          <w:rFonts w:ascii="Arial" w:hAnsi="Arial" w:cs="Arial" w:hint="eastAsia"/>
          <w:sz w:val="24"/>
        </w:rPr>
        <w:t>certain steel</w:t>
      </w:r>
      <w:r w:rsidRPr="00AA048D">
        <w:rPr>
          <w:rFonts w:ascii="Arial" w:hAnsi="Arial" w:cs="Arial"/>
          <w:sz w:val="24"/>
        </w:rPr>
        <w:t xml:space="preserve"> providers are state-owned or invested, does not establish that </w:t>
      </w:r>
      <w:r w:rsidR="00CF2F8C">
        <w:rPr>
          <w:rFonts w:ascii="Arial" w:hAnsi="Arial" w:cs="Arial" w:hint="eastAsia"/>
          <w:sz w:val="24"/>
        </w:rPr>
        <w:t>any</w:t>
      </w:r>
      <w:r w:rsidRPr="00AA048D">
        <w:rPr>
          <w:rFonts w:ascii="Arial" w:hAnsi="Arial" w:cs="Arial"/>
          <w:sz w:val="24"/>
        </w:rPr>
        <w:t xml:space="preserve"> input providers are acting as public bodies. Additionally, as clarified in a long list of Appellate Body reports, including </w:t>
      </w:r>
      <w:r w:rsidRPr="00AA048D">
        <w:rPr>
          <w:rFonts w:ascii="Arial" w:hAnsi="Arial" w:cs="Arial"/>
          <w:i/>
          <w:sz w:val="24"/>
        </w:rPr>
        <w:t>US – Carbon steel (India)</w:t>
      </w:r>
      <w:r w:rsidRPr="00AA048D">
        <w:rPr>
          <w:rFonts w:ascii="Arial" w:hAnsi="Arial" w:cs="Arial"/>
          <w:sz w:val="24"/>
        </w:rPr>
        <w:t>, the finding of a “public body” needs to be made as regards each entity and, in this case, each input supplier deemed to be a “public</w:t>
      </w:r>
      <w:r w:rsidRPr="00AA048D">
        <w:rPr>
          <w:rFonts w:ascii="Arial" w:hAnsi="Arial" w:cs="Arial"/>
          <w:spacing w:val="-1"/>
          <w:sz w:val="24"/>
        </w:rPr>
        <w:t xml:space="preserve"> </w:t>
      </w:r>
      <w:r w:rsidRPr="00AA048D">
        <w:rPr>
          <w:rFonts w:ascii="Arial" w:hAnsi="Arial" w:cs="Arial"/>
          <w:sz w:val="24"/>
        </w:rPr>
        <w:t>body”.</w:t>
      </w:r>
      <w:r w:rsidR="00CF2F8C">
        <w:rPr>
          <w:rStyle w:val="ab"/>
          <w:rFonts w:ascii="Arial" w:hAnsi="Arial" w:cs="Arial"/>
          <w:sz w:val="24"/>
        </w:rPr>
        <w:footnoteReference w:id="52"/>
      </w:r>
    </w:p>
    <w:p w14:paraId="68977A03" w14:textId="3D33AD47" w:rsidR="004015FF" w:rsidRPr="002A1172" w:rsidRDefault="004015FF" w:rsidP="001F79D9">
      <w:pPr>
        <w:pStyle w:val="a9"/>
        <w:widowControl w:val="0"/>
        <w:numPr>
          <w:ilvl w:val="0"/>
          <w:numId w:val="39"/>
        </w:numPr>
        <w:autoSpaceDE w:val="0"/>
        <w:autoSpaceDN w:val="0"/>
        <w:spacing w:before="241"/>
        <w:ind w:left="567" w:right="95" w:hanging="692"/>
        <w:contextualSpacing w:val="0"/>
        <w:rPr>
          <w:rFonts w:ascii="Arial" w:hAnsi="Arial" w:cs="Arial"/>
          <w:sz w:val="24"/>
        </w:rPr>
      </w:pPr>
      <w:r w:rsidRPr="002A1172">
        <w:rPr>
          <w:rFonts w:ascii="Arial" w:hAnsi="Arial" w:cs="Arial"/>
          <w:sz w:val="24"/>
        </w:rPr>
        <w:t xml:space="preserve">While the Applicant states that the supposedly applicable Chinese policies make clear that the GOC provides inputs at </w:t>
      </w:r>
      <w:r w:rsidRPr="002A1172">
        <w:rPr>
          <w:rFonts w:ascii="Arial" w:hAnsi="Arial" w:cs="Arial"/>
          <w:spacing w:val="-9"/>
          <w:sz w:val="24"/>
        </w:rPr>
        <w:t xml:space="preserve">LTAR, </w:t>
      </w:r>
      <w:r w:rsidRPr="002A1172">
        <w:rPr>
          <w:rFonts w:ascii="Arial" w:hAnsi="Arial" w:cs="Arial"/>
          <w:sz w:val="24"/>
        </w:rPr>
        <w:t>the Applicant does not even indicate how the GOC does that. As</w:t>
      </w:r>
      <w:r w:rsidRPr="002A1172">
        <w:rPr>
          <w:rFonts w:ascii="Arial" w:hAnsi="Arial" w:cs="Arial"/>
          <w:spacing w:val="-9"/>
          <w:sz w:val="24"/>
        </w:rPr>
        <w:t xml:space="preserve"> </w:t>
      </w:r>
      <w:r w:rsidRPr="002A1172">
        <w:rPr>
          <w:rFonts w:ascii="Arial" w:hAnsi="Arial" w:cs="Arial"/>
          <w:sz w:val="24"/>
        </w:rPr>
        <w:t>noted</w:t>
      </w:r>
      <w:r w:rsidRPr="002A1172">
        <w:rPr>
          <w:rFonts w:ascii="Arial" w:hAnsi="Arial" w:cs="Arial"/>
          <w:spacing w:val="-9"/>
          <w:sz w:val="24"/>
        </w:rPr>
        <w:t xml:space="preserve"> </w:t>
      </w:r>
      <w:r w:rsidRPr="002A1172">
        <w:rPr>
          <w:rFonts w:ascii="Arial" w:hAnsi="Arial" w:cs="Arial"/>
          <w:sz w:val="24"/>
        </w:rPr>
        <w:t>above,</w:t>
      </w:r>
      <w:r w:rsidRPr="002A1172">
        <w:rPr>
          <w:rFonts w:ascii="Arial" w:hAnsi="Arial" w:cs="Arial"/>
          <w:spacing w:val="-8"/>
          <w:sz w:val="24"/>
        </w:rPr>
        <w:t xml:space="preserve"> </w:t>
      </w:r>
      <w:r w:rsidRPr="002A1172">
        <w:rPr>
          <w:rFonts w:ascii="Arial" w:hAnsi="Arial" w:cs="Arial"/>
          <w:sz w:val="24"/>
        </w:rPr>
        <w:t>the</w:t>
      </w:r>
      <w:r w:rsidRPr="002A1172">
        <w:rPr>
          <w:rFonts w:ascii="Arial" w:hAnsi="Arial" w:cs="Arial"/>
          <w:spacing w:val="-19"/>
          <w:sz w:val="24"/>
        </w:rPr>
        <w:t xml:space="preserve"> </w:t>
      </w:r>
      <w:r w:rsidRPr="002A1172">
        <w:rPr>
          <w:rFonts w:ascii="Arial" w:hAnsi="Arial" w:cs="Arial"/>
          <w:sz w:val="24"/>
        </w:rPr>
        <w:t>Applicant</w:t>
      </w:r>
      <w:r w:rsidRPr="002A1172">
        <w:rPr>
          <w:rFonts w:ascii="Arial" w:hAnsi="Arial" w:cs="Arial"/>
          <w:spacing w:val="-7"/>
          <w:sz w:val="24"/>
        </w:rPr>
        <w:t xml:space="preserve"> </w:t>
      </w:r>
      <w:r w:rsidRPr="002A1172">
        <w:rPr>
          <w:rFonts w:ascii="Arial" w:hAnsi="Arial" w:cs="Arial"/>
          <w:sz w:val="24"/>
        </w:rPr>
        <w:t>has</w:t>
      </w:r>
      <w:r w:rsidRPr="002A1172">
        <w:rPr>
          <w:rFonts w:ascii="Arial" w:hAnsi="Arial" w:cs="Arial"/>
          <w:spacing w:val="-9"/>
          <w:sz w:val="24"/>
        </w:rPr>
        <w:t xml:space="preserve"> </w:t>
      </w:r>
      <w:r w:rsidRPr="002A1172">
        <w:rPr>
          <w:rFonts w:ascii="Arial" w:hAnsi="Arial" w:cs="Arial"/>
          <w:sz w:val="24"/>
        </w:rPr>
        <w:t>not</w:t>
      </w:r>
      <w:r w:rsidRPr="002A1172">
        <w:rPr>
          <w:rFonts w:ascii="Arial" w:hAnsi="Arial" w:cs="Arial"/>
          <w:spacing w:val="-5"/>
          <w:sz w:val="24"/>
        </w:rPr>
        <w:t xml:space="preserve"> </w:t>
      </w:r>
      <w:r w:rsidRPr="002A1172">
        <w:rPr>
          <w:rFonts w:ascii="Arial" w:hAnsi="Arial" w:cs="Arial"/>
          <w:sz w:val="24"/>
        </w:rPr>
        <w:t>established</w:t>
      </w:r>
      <w:r w:rsidRPr="002A1172">
        <w:rPr>
          <w:rFonts w:ascii="Arial" w:hAnsi="Arial" w:cs="Arial"/>
          <w:spacing w:val="-9"/>
          <w:sz w:val="24"/>
        </w:rPr>
        <w:t xml:space="preserve"> </w:t>
      </w:r>
      <w:r w:rsidRPr="002A1172">
        <w:rPr>
          <w:rFonts w:ascii="Arial" w:hAnsi="Arial" w:cs="Arial"/>
          <w:sz w:val="24"/>
        </w:rPr>
        <w:t>the</w:t>
      </w:r>
      <w:r w:rsidRPr="002A1172">
        <w:rPr>
          <w:rFonts w:ascii="Arial" w:hAnsi="Arial" w:cs="Arial"/>
          <w:spacing w:val="-9"/>
          <w:sz w:val="24"/>
        </w:rPr>
        <w:t xml:space="preserve"> </w:t>
      </w:r>
      <w:r w:rsidRPr="002A1172">
        <w:rPr>
          <w:rFonts w:ascii="Arial" w:hAnsi="Arial" w:cs="Arial"/>
          <w:sz w:val="24"/>
        </w:rPr>
        <w:t>existence</w:t>
      </w:r>
      <w:r w:rsidRPr="002A1172">
        <w:rPr>
          <w:rFonts w:ascii="Arial" w:hAnsi="Arial" w:cs="Arial"/>
          <w:spacing w:val="-10"/>
          <w:sz w:val="24"/>
        </w:rPr>
        <w:t xml:space="preserve"> </w:t>
      </w:r>
      <w:r w:rsidRPr="002A1172">
        <w:rPr>
          <w:rFonts w:ascii="Arial" w:hAnsi="Arial" w:cs="Arial"/>
          <w:sz w:val="24"/>
        </w:rPr>
        <w:t>of</w:t>
      </w:r>
      <w:r w:rsidRPr="002A1172">
        <w:rPr>
          <w:rFonts w:ascii="Arial" w:hAnsi="Arial" w:cs="Arial"/>
          <w:spacing w:val="-8"/>
          <w:sz w:val="24"/>
        </w:rPr>
        <w:t xml:space="preserve"> </w:t>
      </w:r>
      <w:r w:rsidRPr="002A1172">
        <w:rPr>
          <w:rFonts w:ascii="Arial" w:hAnsi="Arial" w:cs="Arial"/>
          <w:sz w:val="24"/>
        </w:rPr>
        <w:t>public</w:t>
      </w:r>
      <w:r w:rsidRPr="002A1172">
        <w:rPr>
          <w:rFonts w:ascii="Arial" w:hAnsi="Arial" w:cs="Arial"/>
          <w:spacing w:val="-10"/>
          <w:sz w:val="24"/>
        </w:rPr>
        <w:t xml:space="preserve"> </w:t>
      </w:r>
      <w:r w:rsidRPr="002A1172">
        <w:rPr>
          <w:rFonts w:ascii="Arial" w:hAnsi="Arial" w:cs="Arial"/>
          <w:sz w:val="24"/>
        </w:rPr>
        <w:t>bodies,</w:t>
      </w:r>
      <w:r w:rsidRPr="002A1172">
        <w:rPr>
          <w:rFonts w:ascii="Arial" w:hAnsi="Arial" w:cs="Arial"/>
          <w:spacing w:val="-8"/>
          <w:sz w:val="24"/>
        </w:rPr>
        <w:t xml:space="preserve"> </w:t>
      </w:r>
      <w:r w:rsidRPr="002A1172">
        <w:rPr>
          <w:rFonts w:ascii="Arial" w:hAnsi="Arial" w:cs="Arial"/>
          <w:sz w:val="24"/>
        </w:rPr>
        <w:t>and</w:t>
      </w:r>
      <w:r w:rsidRPr="002A1172">
        <w:rPr>
          <w:rFonts w:ascii="Arial" w:hAnsi="Arial" w:cs="Arial"/>
          <w:spacing w:val="-3"/>
          <w:sz w:val="24"/>
        </w:rPr>
        <w:t xml:space="preserve"> </w:t>
      </w:r>
      <w:r w:rsidRPr="002A1172">
        <w:rPr>
          <w:rFonts w:ascii="Arial" w:hAnsi="Arial" w:cs="Arial"/>
          <w:sz w:val="24"/>
        </w:rPr>
        <w:t>it</w:t>
      </w:r>
      <w:r w:rsidRPr="002A1172">
        <w:rPr>
          <w:rFonts w:ascii="Arial" w:hAnsi="Arial" w:cs="Arial"/>
          <w:spacing w:val="-8"/>
          <w:sz w:val="24"/>
        </w:rPr>
        <w:t xml:space="preserve"> </w:t>
      </w:r>
      <w:r w:rsidRPr="002A1172">
        <w:rPr>
          <w:rFonts w:ascii="Arial" w:hAnsi="Arial" w:cs="Arial"/>
          <w:sz w:val="24"/>
        </w:rPr>
        <w:t>has</w:t>
      </w:r>
      <w:r w:rsidRPr="002A1172">
        <w:rPr>
          <w:rFonts w:ascii="Arial" w:hAnsi="Arial" w:cs="Arial"/>
          <w:spacing w:val="-7"/>
          <w:sz w:val="24"/>
        </w:rPr>
        <w:t xml:space="preserve"> </w:t>
      </w:r>
      <w:r w:rsidRPr="002A1172">
        <w:rPr>
          <w:rFonts w:ascii="Arial" w:hAnsi="Arial" w:cs="Arial"/>
          <w:sz w:val="24"/>
        </w:rPr>
        <w:t xml:space="preserve">also not provided any evidence of entrustment and direction. The GOC underlines that the Panel in </w:t>
      </w:r>
      <w:r w:rsidRPr="002A1172">
        <w:rPr>
          <w:rFonts w:ascii="Arial" w:hAnsi="Arial" w:cs="Arial"/>
          <w:i/>
          <w:sz w:val="24"/>
        </w:rPr>
        <w:t>US</w:t>
      </w:r>
      <w:r w:rsidRPr="002A1172">
        <w:rPr>
          <w:rFonts w:ascii="Arial" w:hAnsi="Arial" w:cs="Arial"/>
          <w:i/>
          <w:spacing w:val="-5"/>
          <w:sz w:val="24"/>
        </w:rPr>
        <w:t xml:space="preserve"> </w:t>
      </w:r>
      <w:r w:rsidRPr="002A1172">
        <w:rPr>
          <w:rFonts w:ascii="Arial" w:hAnsi="Arial" w:cs="Arial"/>
          <w:i/>
          <w:sz w:val="24"/>
        </w:rPr>
        <w:t>–</w:t>
      </w:r>
      <w:r w:rsidRPr="002A1172">
        <w:rPr>
          <w:rFonts w:ascii="Arial" w:hAnsi="Arial" w:cs="Arial"/>
          <w:i/>
          <w:spacing w:val="-5"/>
          <w:sz w:val="24"/>
        </w:rPr>
        <w:t xml:space="preserve"> </w:t>
      </w:r>
      <w:r w:rsidRPr="002A1172">
        <w:rPr>
          <w:rFonts w:ascii="Arial" w:hAnsi="Arial" w:cs="Arial"/>
          <w:i/>
          <w:sz w:val="24"/>
        </w:rPr>
        <w:t>DRAMs</w:t>
      </w:r>
      <w:r w:rsidRPr="002A1172">
        <w:rPr>
          <w:rFonts w:ascii="Arial" w:hAnsi="Arial" w:cs="Arial"/>
          <w:i/>
          <w:spacing w:val="-5"/>
          <w:sz w:val="24"/>
        </w:rPr>
        <w:t xml:space="preserve"> </w:t>
      </w:r>
      <w:r w:rsidRPr="002A1172">
        <w:rPr>
          <w:rFonts w:ascii="Arial" w:hAnsi="Arial" w:cs="Arial"/>
          <w:i/>
          <w:sz w:val="24"/>
        </w:rPr>
        <w:t>(CVD)</w:t>
      </w:r>
      <w:r w:rsidRPr="002A1172">
        <w:rPr>
          <w:rFonts w:ascii="Arial" w:hAnsi="Arial" w:cs="Arial"/>
          <w:i/>
          <w:spacing w:val="-6"/>
          <w:sz w:val="24"/>
        </w:rPr>
        <w:t xml:space="preserve"> </w:t>
      </w:r>
      <w:r w:rsidRPr="002A1172">
        <w:rPr>
          <w:rFonts w:ascii="Arial" w:hAnsi="Arial" w:cs="Arial"/>
          <w:sz w:val="24"/>
        </w:rPr>
        <w:t>noted</w:t>
      </w:r>
      <w:r w:rsidRPr="002A1172">
        <w:rPr>
          <w:rFonts w:ascii="Arial" w:hAnsi="Arial" w:cs="Arial"/>
          <w:spacing w:val="-5"/>
          <w:sz w:val="24"/>
        </w:rPr>
        <w:t xml:space="preserve"> </w:t>
      </w:r>
      <w:r w:rsidRPr="002A1172">
        <w:rPr>
          <w:rFonts w:ascii="Arial" w:hAnsi="Arial" w:cs="Arial"/>
          <w:sz w:val="24"/>
        </w:rPr>
        <w:t>that</w:t>
      </w:r>
      <w:r w:rsidRPr="002A1172">
        <w:rPr>
          <w:rFonts w:ascii="Arial" w:hAnsi="Arial" w:cs="Arial"/>
          <w:spacing w:val="-4"/>
          <w:sz w:val="24"/>
        </w:rPr>
        <w:t xml:space="preserve"> </w:t>
      </w:r>
      <w:r w:rsidRPr="002A1172">
        <w:rPr>
          <w:rFonts w:ascii="Arial" w:hAnsi="Arial" w:cs="Arial"/>
          <w:sz w:val="24"/>
        </w:rPr>
        <w:t>“</w:t>
      </w:r>
      <w:r w:rsidRPr="002A1172">
        <w:rPr>
          <w:rFonts w:ascii="Arial" w:hAnsi="Arial" w:cs="Arial"/>
          <w:i/>
          <w:sz w:val="24"/>
        </w:rPr>
        <w:t>[t]he</w:t>
      </w:r>
      <w:r w:rsidRPr="002A1172">
        <w:rPr>
          <w:rFonts w:ascii="Arial" w:hAnsi="Arial" w:cs="Arial"/>
          <w:i/>
          <w:spacing w:val="-5"/>
          <w:sz w:val="24"/>
        </w:rPr>
        <w:t xml:space="preserve"> </w:t>
      </w:r>
      <w:r w:rsidRPr="002A1172">
        <w:rPr>
          <w:rFonts w:ascii="Arial" w:hAnsi="Arial" w:cs="Arial"/>
          <w:i/>
          <w:sz w:val="24"/>
        </w:rPr>
        <w:t>evidence</w:t>
      </w:r>
      <w:r w:rsidRPr="002A1172">
        <w:rPr>
          <w:rFonts w:ascii="Arial" w:hAnsi="Arial" w:cs="Arial"/>
          <w:i/>
          <w:spacing w:val="-6"/>
          <w:sz w:val="24"/>
        </w:rPr>
        <w:t xml:space="preserve"> </w:t>
      </w:r>
      <w:r w:rsidRPr="002A1172">
        <w:rPr>
          <w:rFonts w:ascii="Arial" w:hAnsi="Arial" w:cs="Arial"/>
          <w:i/>
          <w:sz w:val="24"/>
        </w:rPr>
        <w:t>of</w:t>
      </w:r>
      <w:r w:rsidRPr="002A1172">
        <w:rPr>
          <w:rFonts w:ascii="Arial" w:hAnsi="Arial" w:cs="Arial"/>
          <w:i/>
          <w:spacing w:val="-4"/>
          <w:sz w:val="24"/>
        </w:rPr>
        <w:t xml:space="preserve"> </w:t>
      </w:r>
      <w:r w:rsidRPr="002A1172">
        <w:rPr>
          <w:rFonts w:ascii="Arial" w:hAnsi="Arial" w:cs="Arial"/>
          <w:i/>
          <w:sz w:val="24"/>
        </w:rPr>
        <w:t>entrustment</w:t>
      </w:r>
      <w:r w:rsidRPr="002A1172">
        <w:rPr>
          <w:rFonts w:ascii="Arial" w:hAnsi="Arial" w:cs="Arial"/>
          <w:i/>
          <w:spacing w:val="-4"/>
          <w:sz w:val="24"/>
        </w:rPr>
        <w:t xml:space="preserve"> </w:t>
      </w:r>
      <w:r w:rsidRPr="002A1172">
        <w:rPr>
          <w:rFonts w:ascii="Arial" w:hAnsi="Arial" w:cs="Arial"/>
          <w:i/>
          <w:sz w:val="24"/>
        </w:rPr>
        <w:t>or</w:t>
      </w:r>
      <w:r w:rsidRPr="002A1172">
        <w:rPr>
          <w:rFonts w:ascii="Arial" w:hAnsi="Arial" w:cs="Arial"/>
          <w:i/>
          <w:spacing w:val="-4"/>
          <w:sz w:val="24"/>
        </w:rPr>
        <w:t xml:space="preserve"> </w:t>
      </w:r>
      <w:r w:rsidRPr="002A1172">
        <w:rPr>
          <w:rFonts w:ascii="Arial" w:hAnsi="Arial" w:cs="Arial"/>
          <w:i/>
          <w:sz w:val="24"/>
        </w:rPr>
        <w:t>direction</w:t>
      </w:r>
      <w:r w:rsidRPr="002A1172">
        <w:rPr>
          <w:rFonts w:ascii="Arial" w:hAnsi="Arial" w:cs="Arial"/>
          <w:i/>
          <w:spacing w:val="-5"/>
          <w:sz w:val="24"/>
        </w:rPr>
        <w:t xml:space="preserve"> </w:t>
      </w:r>
      <w:r w:rsidRPr="002A1172">
        <w:rPr>
          <w:rFonts w:ascii="Arial" w:hAnsi="Arial" w:cs="Arial"/>
          <w:i/>
          <w:sz w:val="24"/>
        </w:rPr>
        <w:t>must</w:t>
      </w:r>
      <w:r w:rsidRPr="002A1172">
        <w:rPr>
          <w:rFonts w:ascii="Arial" w:hAnsi="Arial" w:cs="Arial"/>
          <w:i/>
          <w:spacing w:val="-5"/>
          <w:sz w:val="24"/>
        </w:rPr>
        <w:t xml:space="preserve"> </w:t>
      </w:r>
      <w:r w:rsidRPr="002A1172">
        <w:rPr>
          <w:rFonts w:ascii="Arial" w:hAnsi="Arial" w:cs="Arial"/>
          <w:i/>
          <w:sz w:val="24"/>
        </w:rPr>
        <w:t>in</w:t>
      </w:r>
      <w:r w:rsidRPr="002A1172">
        <w:rPr>
          <w:rFonts w:ascii="Arial" w:hAnsi="Arial" w:cs="Arial"/>
          <w:i/>
          <w:spacing w:val="-4"/>
          <w:sz w:val="24"/>
        </w:rPr>
        <w:t xml:space="preserve"> </w:t>
      </w:r>
      <w:r w:rsidRPr="002A1172">
        <w:rPr>
          <w:rFonts w:ascii="Arial" w:hAnsi="Arial" w:cs="Arial"/>
          <w:i/>
          <w:sz w:val="24"/>
        </w:rPr>
        <w:t>all</w:t>
      </w:r>
      <w:r w:rsidRPr="002A1172">
        <w:rPr>
          <w:rFonts w:ascii="Arial" w:hAnsi="Arial" w:cs="Arial"/>
          <w:i/>
          <w:spacing w:val="-6"/>
          <w:sz w:val="24"/>
        </w:rPr>
        <w:t xml:space="preserve"> </w:t>
      </w:r>
      <w:r w:rsidRPr="002A1172">
        <w:rPr>
          <w:rFonts w:ascii="Arial" w:hAnsi="Arial" w:cs="Arial"/>
          <w:i/>
          <w:sz w:val="24"/>
        </w:rPr>
        <w:t>cases</w:t>
      </w:r>
      <w:r w:rsidRPr="002A1172">
        <w:rPr>
          <w:rFonts w:ascii="Arial" w:hAnsi="Arial" w:cs="Arial"/>
          <w:i/>
          <w:spacing w:val="-5"/>
          <w:sz w:val="24"/>
        </w:rPr>
        <w:t xml:space="preserve"> </w:t>
      </w:r>
      <w:r w:rsidRPr="002A1172">
        <w:rPr>
          <w:rFonts w:ascii="Arial" w:hAnsi="Arial" w:cs="Arial"/>
          <w:i/>
          <w:sz w:val="24"/>
        </w:rPr>
        <w:t>be probative and compelling</w:t>
      </w:r>
      <w:r w:rsidRPr="002A1172">
        <w:rPr>
          <w:rFonts w:ascii="Arial" w:hAnsi="Arial" w:cs="Arial"/>
          <w:sz w:val="24"/>
        </w:rPr>
        <w:t>.”</w:t>
      </w:r>
      <w:r w:rsidR="00CF2F8C">
        <w:rPr>
          <w:rStyle w:val="ab"/>
          <w:rFonts w:ascii="Arial" w:hAnsi="Arial" w:cs="Arial"/>
          <w:sz w:val="24"/>
        </w:rPr>
        <w:footnoteReference w:id="53"/>
      </w:r>
      <w:r w:rsidRPr="002A1172">
        <w:rPr>
          <w:rFonts w:ascii="Arial" w:hAnsi="Arial" w:cs="Arial"/>
          <w:sz w:val="24"/>
        </w:rPr>
        <w:t xml:space="preserve"> However, no evidence was provided by the Applicant.</w:t>
      </w:r>
    </w:p>
    <w:p w14:paraId="1630BEED" w14:textId="77777777" w:rsidR="004015FF" w:rsidRPr="002A1172" w:rsidRDefault="004015FF" w:rsidP="002A1172">
      <w:pPr>
        <w:pStyle w:val="a7"/>
        <w:tabs>
          <w:tab w:val="clear" w:pos="720"/>
        </w:tabs>
        <w:spacing w:before="9"/>
        <w:ind w:left="567" w:right="95" w:hanging="692"/>
        <w:rPr>
          <w:rFonts w:ascii="Arial" w:hAnsi="Arial" w:cs="Arial"/>
          <w:sz w:val="20"/>
        </w:rPr>
      </w:pPr>
    </w:p>
    <w:p w14:paraId="5B0A4771" w14:textId="6DE3FFE7" w:rsidR="004015FF" w:rsidRPr="00CF2F8C" w:rsidRDefault="004015FF" w:rsidP="001F79D9">
      <w:pPr>
        <w:pStyle w:val="a9"/>
        <w:widowControl w:val="0"/>
        <w:numPr>
          <w:ilvl w:val="0"/>
          <w:numId w:val="39"/>
        </w:numPr>
        <w:autoSpaceDE w:val="0"/>
        <w:autoSpaceDN w:val="0"/>
        <w:spacing w:before="241"/>
        <w:ind w:left="567" w:right="95" w:hanging="692"/>
        <w:contextualSpacing w:val="0"/>
        <w:rPr>
          <w:rFonts w:ascii="Arial" w:hAnsi="Arial" w:cs="Arial"/>
          <w:sz w:val="24"/>
        </w:rPr>
      </w:pPr>
      <w:r w:rsidRPr="002A1172">
        <w:rPr>
          <w:rFonts w:ascii="Arial" w:hAnsi="Arial" w:cs="Arial"/>
          <w:sz w:val="24"/>
        </w:rPr>
        <w:t>Third, as regards the benefit, the Application does not provide any evidence whatsoever. Moreover, financial contribution and benefit are two different elements to be demonstrated to establish</w:t>
      </w:r>
      <w:r w:rsidRPr="00CF2F8C">
        <w:rPr>
          <w:rFonts w:ascii="Arial" w:hAnsi="Arial" w:cs="Arial"/>
          <w:sz w:val="24"/>
        </w:rPr>
        <w:t xml:space="preserve"> </w:t>
      </w:r>
      <w:r w:rsidRPr="002A1172">
        <w:rPr>
          <w:rFonts w:ascii="Arial" w:hAnsi="Arial" w:cs="Arial"/>
          <w:sz w:val="24"/>
        </w:rPr>
        <w:t>that</w:t>
      </w:r>
      <w:r w:rsidRPr="00CF2F8C">
        <w:rPr>
          <w:rFonts w:ascii="Arial" w:hAnsi="Arial" w:cs="Arial"/>
          <w:sz w:val="24"/>
        </w:rPr>
        <w:t xml:space="preserve"> </w:t>
      </w:r>
      <w:r w:rsidRPr="002A1172">
        <w:rPr>
          <w:rFonts w:ascii="Arial" w:hAnsi="Arial" w:cs="Arial"/>
          <w:sz w:val="24"/>
        </w:rPr>
        <w:t>a</w:t>
      </w:r>
      <w:r w:rsidRPr="00CF2F8C">
        <w:rPr>
          <w:rFonts w:ascii="Arial" w:hAnsi="Arial" w:cs="Arial"/>
          <w:sz w:val="24"/>
        </w:rPr>
        <w:t xml:space="preserve"> </w:t>
      </w:r>
      <w:r w:rsidRPr="002A1172">
        <w:rPr>
          <w:rFonts w:ascii="Arial" w:hAnsi="Arial" w:cs="Arial"/>
          <w:sz w:val="24"/>
        </w:rPr>
        <w:t>subsidy</w:t>
      </w:r>
      <w:r w:rsidRPr="00CF2F8C">
        <w:rPr>
          <w:rFonts w:ascii="Arial" w:hAnsi="Arial" w:cs="Arial"/>
          <w:sz w:val="24"/>
        </w:rPr>
        <w:t xml:space="preserve"> </w:t>
      </w:r>
      <w:r w:rsidRPr="002A1172">
        <w:rPr>
          <w:rFonts w:ascii="Arial" w:hAnsi="Arial" w:cs="Arial"/>
          <w:sz w:val="24"/>
        </w:rPr>
        <w:t>is</w:t>
      </w:r>
      <w:r w:rsidRPr="00CF2F8C">
        <w:rPr>
          <w:rFonts w:ascii="Arial" w:hAnsi="Arial" w:cs="Arial"/>
          <w:sz w:val="24"/>
        </w:rPr>
        <w:t xml:space="preserve"> </w:t>
      </w:r>
      <w:r w:rsidRPr="002A1172">
        <w:rPr>
          <w:rFonts w:ascii="Arial" w:hAnsi="Arial" w:cs="Arial"/>
          <w:sz w:val="24"/>
        </w:rPr>
        <w:t>specific.</w:t>
      </w:r>
      <w:r w:rsidR="00CF2F8C">
        <w:rPr>
          <w:rStyle w:val="ab"/>
          <w:rFonts w:ascii="Arial" w:hAnsi="Arial" w:cs="Arial"/>
          <w:sz w:val="24"/>
        </w:rPr>
        <w:footnoteReference w:id="54"/>
      </w:r>
      <w:r w:rsidRPr="00CF2F8C">
        <w:rPr>
          <w:rFonts w:ascii="Arial" w:hAnsi="Arial" w:cs="Arial"/>
          <w:sz w:val="24"/>
        </w:rPr>
        <w:t xml:space="preserve"> </w:t>
      </w:r>
      <w:r w:rsidRPr="002A1172">
        <w:rPr>
          <w:rFonts w:ascii="Arial" w:hAnsi="Arial" w:cs="Arial"/>
          <w:sz w:val="24"/>
        </w:rPr>
        <w:t>However,</w:t>
      </w:r>
      <w:r w:rsidRPr="00CF2F8C">
        <w:rPr>
          <w:rFonts w:ascii="Arial" w:hAnsi="Arial" w:cs="Arial"/>
          <w:sz w:val="24"/>
        </w:rPr>
        <w:t xml:space="preserve"> </w:t>
      </w:r>
      <w:r w:rsidRPr="002A1172">
        <w:rPr>
          <w:rFonts w:ascii="Arial" w:hAnsi="Arial" w:cs="Arial"/>
          <w:sz w:val="24"/>
        </w:rPr>
        <w:t>the</w:t>
      </w:r>
      <w:r w:rsidRPr="00CF2F8C">
        <w:rPr>
          <w:rFonts w:ascii="Arial" w:hAnsi="Arial" w:cs="Arial"/>
          <w:sz w:val="24"/>
        </w:rPr>
        <w:t xml:space="preserve"> </w:t>
      </w:r>
      <w:r w:rsidRPr="002A1172">
        <w:rPr>
          <w:rFonts w:ascii="Arial" w:hAnsi="Arial" w:cs="Arial"/>
          <w:sz w:val="24"/>
        </w:rPr>
        <w:t>Application</w:t>
      </w:r>
      <w:r w:rsidRPr="00CF2F8C">
        <w:rPr>
          <w:rFonts w:ascii="Arial" w:hAnsi="Arial" w:cs="Arial"/>
          <w:sz w:val="24"/>
        </w:rPr>
        <w:t xml:space="preserve"> </w:t>
      </w:r>
      <w:r w:rsidRPr="002A1172">
        <w:rPr>
          <w:rFonts w:ascii="Arial" w:hAnsi="Arial" w:cs="Arial"/>
          <w:sz w:val="24"/>
        </w:rPr>
        <w:t>intertwines</w:t>
      </w:r>
      <w:r w:rsidRPr="00CF2F8C">
        <w:rPr>
          <w:rFonts w:ascii="Arial" w:hAnsi="Arial" w:cs="Arial"/>
          <w:sz w:val="24"/>
        </w:rPr>
        <w:t xml:space="preserve"> </w:t>
      </w:r>
      <w:r w:rsidRPr="002A1172">
        <w:rPr>
          <w:rFonts w:ascii="Arial" w:hAnsi="Arial" w:cs="Arial"/>
          <w:sz w:val="24"/>
        </w:rPr>
        <w:t>the</w:t>
      </w:r>
      <w:r w:rsidRPr="00CF2F8C">
        <w:rPr>
          <w:rFonts w:ascii="Arial" w:hAnsi="Arial" w:cs="Arial"/>
          <w:sz w:val="24"/>
        </w:rPr>
        <w:t xml:space="preserve"> </w:t>
      </w:r>
      <w:r w:rsidRPr="002A1172">
        <w:rPr>
          <w:rFonts w:ascii="Arial" w:hAnsi="Arial" w:cs="Arial"/>
          <w:sz w:val="24"/>
        </w:rPr>
        <w:t>two</w:t>
      </w:r>
      <w:r w:rsidRPr="00CF2F8C">
        <w:rPr>
          <w:rFonts w:ascii="Arial" w:hAnsi="Arial" w:cs="Arial"/>
          <w:sz w:val="24"/>
        </w:rPr>
        <w:t xml:space="preserve"> </w:t>
      </w:r>
      <w:r w:rsidRPr="002A1172">
        <w:rPr>
          <w:rFonts w:ascii="Arial" w:hAnsi="Arial" w:cs="Arial"/>
          <w:sz w:val="24"/>
        </w:rPr>
        <w:t>and</w:t>
      </w:r>
      <w:r w:rsidRPr="00CF2F8C">
        <w:rPr>
          <w:rFonts w:ascii="Arial" w:hAnsi="Arial" w:cs="Arial"/>
          <w:sz w:val="24"/>
        </w:rPr>
        <w:t xml:space="preserve"> </w:t>
      </w:r>
      <w:r w:rsidRPr="002A1172">
        <w:rPr>
          <w:rFonts w:ascii="Arial" w:hAnsi="Arial" w:cs="Arial"/>
          <w:sz w:val="24"/>
        </w:rPr>
        <w:t xml:space="preserve">applies </w:t>
      </w:r>
      <w:r w:rsidRPr="00CF2F8C">
        <w:rPr>
          <w:rFonts w:ascii="Arial" w:hAnsi="Arial" w:cs="Arial"/>
          <w:sz w:val="24"/>
        </w:rPr>
        <w:t xml:space="preserve">a circular logic in that there is a financial contribution because of the benefit and vice versa. However, at no point in time does the Applicant give any evidence of the benefit being received by </w:t>
      </w:r>
      <w:r w:rsidR="00CF2F8C">
        <w:rPr>
          <w:rFonts w:ascii="Arial" w:hAnsi="Arial" w:cs="Arial" w:hint="eastAsia"/>
          <w:sz w:val="24"/>
        </w:rPr>
        <w:t>Excavator</w:t>
      </w:r>
      <w:r w:rsidRPr="00CF2F8C">
        <w:rPr>
          <w:rFonts w:ascii="Arial" w:hAnsi="Arial" w:cs="Arial"/>
          <w:sz w:val="24"/>
        </w:rPr>
        <w:t xml:space="preserve"> producers in terms of below-market price purchases of the concerned inputs.</w:t>
      </w:r>
    </w:p>
    <w:p w14:paraId="3463A067" w14:textId="77777777" w:rsidR="004015FF" w:rsidRPr="002A1172" w:rsidRDefault="004015FF" w:rsidP="002A1172">
      <w:pPr>
        <w:pStyle w:val="a7"/>
        <w:tabs>
          <w:tab w:val="clear" w:pos="720"/>
        </w:tabs>
        <w:ind w:left="567" w:right="95" w:hanging="692"/>
        <w:rPr>
          <w:rFonts w:ascii="Arial" w:hAnsi="Arial" w:cs="Arial"/>
          <w:sz w:val="21"/>
        </w:rPr>
      </w:pPr>
    </w:p>
    <w:p w14:paraId="35668C85" w14:textId="635D90EA" w:rsidR="004015FF" w:rsidRDefault="004015FF" w:rsidP="001F79D9">
      <w:pPr>
        <w:pStyle w:val="a9"/>
        <w:widowControl w:val="0"/>
        <w:numPr>
          <w:ilvl w:val="0"/>
          <w:numId w:val="39"/>
        </w:numPr>
        <w:autoSpaceDE w:val="0"/>
        <w:autoSpaceDN w:val="0"/>
        <w:spacing w:before="241"/>
        <w:ind w:left="567" w:right="95" w:hanging="692"/>
        <w:contextualSpacing w:val="0"/>
        <w:rPr>
          <w:rFonts w:ascii="Arial" w:hAnsi="Arial" w:cs="Arial"/>
          <w:sz w:val="24"/>
        </w:rPr>
      </w:pPr>
      <w:r w:rsidRPr="002A1172">
        <w:rPr>
          <w:rFonts w:ascii="Arial" w:hAnsi="Arial" w:cs="Arial"/>
          <w:sz w:val="24"/>
        </w:rPr>
        <w:lastRenderedPageBreak/>
        <w:t xml:space="preserve">In sum, the investigation into the alleged provision of inputs at </w:t>
      </w:r>
      <w:r w:rsidRPr="00CF2F8C">
        <w:rPr>
          <w:rFonts w:ascii="Arial" w:hAnsi="Arial" w:cs="Arial"/>
          <w:sz w:val="24"/>
        </w:rPr>
        <w:t xml:space="preserve">LTAR </w:t>
      </w:r>
      <w:r w:rsidRPr="002A1172">
        <w:rPr>
          <w:rFonts w:ascii="Arial" w:hAnsi="Arial" w:cs="Arial"/>
          <w:sz w:val="24"/>
        </w:rPr>
        <w:t xml:space="preserve">is inconsistent with Articles </w:t>
      </w:r>
      <w:r w:rsidRPr="00CF2F8C">
        <w:rPr>
          <w:rFonts w:ascii="Arial" w:hAnsi="Arial" w:cs="Arial"/>
          <w:sz w:val="24"/>
        </w:rPr>
        <w:t xml:space="preserve">11.2 </w:t>
      </w:r>
      <w:r w:rsidRPr="002A1172">
        <w:rPr>
          <w:rFonts w:ascii="Arial" w:hAnsi="Arial" w:cs="Arial"/>
          <w:sz w:val="24"/>
        </w:rPr>
        <w:t xml:space="preserve">and </w:t>
      </w:r>
      <w:r w:rsidRPr="00CF2F8C">
        <w:rPr>
          <w:rFonts w:ascii="Arial" w:hAnsi="Arial" w:cs="Arial"/>
          <w:sz w:val="24"/>
        </w:rPr>
        <w:t xml:space="preserve">11.3 </w:t>
      </w:r>
      <w:r w:rsidRPr="002A1172">
        <w:rPr>
          <w:rFonts w:ascii="Arial" w:hAnsi="Arial" w:cs="Arial"/>
          <w:sz w:val="24"/>
        </w:rPr>
        <w:t>of the SCM Agreement in this</w:t>
      </w:r>
      <w:r w:rsidRPr="00CF2F8C">
        <w:rPr>
          <w:rFonts w:ascii="Arial" w:hAnsi="Arial" w:cs="Arial"/>
          <w:sz w:val="24"/>
        </w:rPr>
        <w:t xml:space="preserve"> </w:t>
      </w:r>
      <w:r w:rsidRPr="002A1172">
        <w:rPr>
          <w:rFonts w:ascii="Arial" w:hAnsi="Arial" w:cs="Arial"/>
          <w:sz w:val="24"/>
        </w:rPr>
        <w:t>case.</w:t>
      </w:r>
    </w:p>
    <w:p w14:paraId="3D1A1B3C" w14:textId="77777777" w:rsidR="00B35E4F" w:rsidRPr="00B35E4F" w:rsidRDefault="00B35E4F" w:rsidP="00B35E4F">
      <w:pPr>
        <w:widowControl w:val="0"/>
        <w:autoSpaceDE w:val="0"/>
        <w:autoSpaceDN w:val="0"/>
        <w:spacing w:before="241"/>
        <w:ind w:right="95"/>
        <w:rPr>
          <w:rFonts w:ascii="Arial" w:hAnsi="Arial" w:cs="Arial"/>
          <w:sz w:val="24"/>
        </w:rPr>
      </w:pPr>
    </w:p>
    <w:p w14:paraId="5849A3CD" w14:textId="6CDD0E53" w:rsidR="00B35E4F" w:rsidRDefault="00B35E4F" w:rsidP="00B35E4F">
      <w:pPr>
        <w:pStyle w:val="3"/>
        <w:spacing w:before="0"/>
        <w:rPr>
          <w:rFonts w:ascii="Arial" w:eastAsiaTheme="minorEastAsia" w:hAnsi="Arial" w:cs="Arial"/>
          <w:b/>
          <w:bCs/>
          <w:color w:val="auto"/>
        </w:rPr>
      </w:pPr>
      <w:bookmarkStart w:id="37" w:name="_Toc161355132"/>
      <w:r w:rsidRPr="0038092C">
        <w:rPr>
          <w:rFonts w:ascii="Arial" w:eastAsia="Times New Roman" w:hAnsi="Arial" w:cs="Arial"/>
          <w:b/>
          <w:bCs/>
          <w:color w:val="auto"/>
          <w:lang w:eastAsia="en-US"/>
        </w:rPr>
        <w:t xml:space="preserve">Alleged provision of </w:t>
      </w:r>
      <w:r>
        <w:rPr>
          <w:rFonts w:ascii="Arial" w:eastAsiaTheme="minorEastAsia" w:hAnsi="Arial" w:cs="Arial" w:hint="eastAsia"/>
          <w:b/>
          <w:bCs/>
          <w:color w:val="auto"/>
        </w:rPr>
        <w:t>electricity</w:t>
      </w:r>
      <w:r w:rsidRPr="0038092C">
        <w:rPr>
          <w:rFonts w:ascii="Arial" w:eastAsia="Times New Roman" w:hAnsi="Arial" w:cs="Arial"/>
          <w:b/>
          <w:bCs/>
          <w:color w:val="auto"/>
          <w:lang w:eastAsia="en-US"/>
        </w:rPr>
        <w:t xml:space="preserve"> at LTAR</w:t>
      </w:r>
      <w:bookmarkEnd w:id="37"/>
      <w:r w:rsidRPr="00131C50">
        <w:rPr>
          <w:rFonts w:ascii="Arial" w:eastAsia="Times New Roman" w:hAnsi="Arial" w:cs="Arial"/>
          <w:b/>
          <w:bCs/>
          <w:color w:val="auto"/>
          <w:lang w:eastAsia="en-US"/>
        </w:rPr>
        <w:t xml:space="preserve"> </w:t>
      </w:r>
    </w:p>
    <w:p w14:paraId="43605B7F" w14:textId="77777777" w:rsidR="00DC1EE7" w:rsidRDefault="00DC1EE7" w:rsidP="00DC1EE7">
      <w:pPr>
        <w:pStyle w:val="a9"/>
        <w:widowControl w:val="0"/>
        <w:autoSpaceDE w:val="0"/>
        <w:autoSpaceDN w:val="0"/>
        <w:ind w:left="644" w:right="95"/>
        <w:contextualSpacing w:val="0"/>
        <w:rPr>
          <w:rFonts w:ascii="Arial" w:hAnsi="Arial" w:cs="Arial"/>
          <w:sz w:val="24"/>
          <w:szCs w:val="24"/>
        </w:rPr>
      </w:pPr>
    </w:p>
    <w:p w14:paraId="09B97966" w14:textId="611065D7" w:rsidR="00F7585F" w:rsidRDefault="00F7585F" w:rsidP="00F23654">
      <w:pPr>
        <w:pStyle w:val="a9"/>
        <w:widowControl w:val="0"/>
        <w:numPr>
          <w:ilvl w:val="0"/>
          <w:numId w:val="39"/>
        </w:numPr>
        <w:autoSpaceDE w:val="0"/>
        <w:autoSpaceDN w:val="0"/>
        <w:ind w:right="95" w:hanging="786"/>
        <w:contextualSpacing w:val="0"/>
        <w:rPr>
          <w:rFonts w:ascii="Arial" w:hAnsi="Arial" w:cs="Arial"/>
          <w:sz w:val="24"/>
          <w:szCs w:val="24"/>
        </w:rPr>
      </w:pPr>
      <w:r w:rsidRPr="00DC1EE7">
        <w:rPr>
          <w:rFonts w:ascii="Arial" w:hAnsi="Arial" w:cs="Arial"/>
          <w:sz w:val="24"/>
          <w:szCs w:val="24"/>
        </w:rPr>
        <w:t xml:space="preserve">According to the Applicant, the provision of power at reduced rates to the </w:t>
      </w:r>
      <w:r w:rsidR="00DC1EE7">
        <w:rPr>
          <w:rFonts w:ascii="Arial" w:hAnsi="Arial" w:cs="Arial" w:hint="eastAsia"/>
          <w:sz w:val="24"/>
          <w:szCs w:val="24"/>
        </w:rPr>
        <w:t>Excavator</w:t>
      </w:r>
      <w:r w:rsidRPr="00DC1EE7">
        <w:rPr>
          <w:rFonts w:ascii="Arial" w:hAnsi="Arial" w:cs="Arial"/>
          <w:sz w:val="24"/>
          <w:szCs w:val="24"/>
        </w:rPr>
        <w:t xml:space="preserve"> industry qualifies as a countervailable subsidy. The GOC disagrees for three</w:t>
      </w:r>
      <w:r w:rsidRPr="00DC1EE7">
        <w:rPr>
          <w:rFonts w:ascii="Arial" w:hAnsi="Arial" w:cs="Arial"/>
          <w:spacing w:val="-16"/>
          <w:sz w:val="24"/>
          <w:szCs w:val="24"/>
        </w:rPr>
        <w:t xml:space="preserve"> </w:t>
      </w:r>
      <w:r w:rsidRPr="00DC1EE7">
        <w:rPr>
          <w:rFonts w:ascii="Arial" w:hAnsi="Arial" w:cs="Arial"/>
          <w:sz w:val="24"/>
          <w:szCs w:val="24"/>
        </w:rPr>
        <w:t>reasons.</w:t>
      </w:r>
    </w:p>
    <w:p w14:paraId="78B9B844" w14:textId="77777777" w:rsidR="00DC1EE7" w:rsidRPr="00DC1EE7" w:rsidRDefault="00DC1EE7" w:rsidP="00DC1EE7">
      <w:pPr>
        <w:pStyle w:val="a9"/>
        <w:widowControl w:val="0"/>
        <w:autoSpaceDE w:val="0"/>
        <w:autoSpaceDN w:val="0"/>
        <w:ind w:left="644" w:right="95"/>
        <w:contextualSpacing w:val="0"/>
        <w:rPr>
          <w:rFonts w:ascii="Arial" w:hAnsi="Arial" w:cs="Arial"/>
          <w:sz w:val="24"/>
          <w:szCs w:val="24"/>
        </w:rPr>
      </w:pPr>
    </w:p>
    <w:p w14:paraId="2FBF8F1A" w14:textId="402FFAB2" w:rsidR="00F7585F" w:rsidRPr="00DC1EE7" w:rsidRDefault="00F7585F" w:rsidP="001F79D9">
      <w:pPr>
        <w:pStyle w:val="a7"/>
        <w:numPr>
          <w:ilvl w:val="0"/>
          <w:numId w:val="39"/>
        </w:numPr>
        <w:spacing w:before="100"/>
        <w:ind w:right="95" w:hanging="786"/>
        <w:jc w:val="both"/>
        <w:rPr>
          <w:rFonts w:ascii="Arial" w:hAnsi="Arial" w:cs="Arial"/>
          <w:sz w:val="24"/>
          <w:szCs w:val="24"/>
        </w:rPr>
      </w:pPr>
      <w:r w:rsidRPr="00DC1EE7">
        <w:rPr>
          <w:rFonts w:ascii="Arial" w:hAnsi="Arial" w:cs="Arial"/>
          <w:sz w:val="24"/>
          <w:szCs w:val="24"/>
        </w:rPr>
        <w:t xml:space="preserve">First, the Applicant relies on completely unrelated </w:t>
      </w:r>
      <w:r w:rsidR="00DC1EE7">
        <w:rPr>
          <w:rFonts w:ascii="Arial" w:eastAsiaTheme="minorEastAsia" w:hAnsi="Arial" w:cs="Arial" w:hint="eastAsia"/>
          <w:sz w:val="24"/>
          <w:szCs w:val="24"/>
          <w:lang w:eastAsia="zh-CN"/>
        </w:rPr>
        <w:t>previous</w:t>
      </w:r>
      <w:r w:rsidRPr="00DC1EE7">
        <w:rPr>
          <w:rFonts w:ascii="Arial" w:hAnsi="Arial" w:cs="Arial"/>
          <w:sz w:val="24"/>
          <w:szCs w:val="24"/>
        </w:rPr>
        <w:t xml:space="preserve"> investigation to assert that there is</w:t>
      </w:r>
      <w:r w:rsidRPr="00DC1EE7">
        <w:rPr>
          <w:rFonts w:ascii="Arial" w:hAnsi="Arial" w:cs="Arial"/>
          <w:spacing w:val="-10"/>
          <w:sz w:val="24"/>
          <w:szCs w:val="24"/>
        </w:rPr>
        <w:t xml:space="preserve"> </w:t>
      </w:r>
      <w:r w:rsidRPr="00DC1EE7">
        <w:rPr>
          <w:rFonts w:ascii="Arial" w:hAnsi="Arial" w:cs="Arial"/>
          <w:i/>
          <w:sz w:val="24"/>
          <w:szCs w:val="24"/>
        </w:rPr>
        <w:t>prima</w:t>
      </w:r>
      <w:r w:rsidRPr="00DC1EE7">
        <w:rPr>
          <w:rFonts w:ascii="Arial" w:hAnsi="Arial" w:cs="Arial"/>
          <w:i/>
          <w:spacing w:val="-11"/>
          <w:sz w:val="24"/>
          <w:szCs w:val="24"/>
        </w:rPr>
        <w:t xml:space="preserve"> </w:t>
      </w:r>
      <w:r w:rsidRPr="00DC1EE7">
        <w:rPr>
          <w:rFonts w:ascii="Arial" w:hAnsi="Arial" w:cs="Arial"/>
          <w:i/>
          <w:sz w:val="24"/>
          <w:szCs w:val="24"/>
        </w:rPr>
        <w:t>facie</w:t>
      </w:r>
      <w:r w:rsidRPr="00DC1EE7">
        <w:rPr>
          <w:rFonts w:ascii="Arial" w:hAnsi="Arial" w:cs="Arial"/>
          <w:i/>
          <w:spacing w:val="-12"/>
          <w:sz w:val="24"/>
          <w:szCs w:val="24"/>
        </w:rPr>
        <w:t xml:space="preserve"> </w:t>
      </w:r>
      <w:r w:rsidRPr="00DC1EE7">
        <w:rPr>
          <w:rFonts w:ascii="Arial" w:hAnsi="Arial" w:cs="Arial"/>
          <w:sz w:val="24"/>
          <w:szCs w:val="24"/>
        </w:rPr>
        <w:t>evidence</w:t>
      </w:r>
      <w:r w:rsidRPr="00DC1EE7">
        <w:rPr>
          <w:rFonts w:ascii="Arial" w:hAnsi="Arial" w:cs="Arial"/>
          <w:spacing w:val="-11"/>
          <w:sz w:val="24"/>
          <w:szCs w:val="24"/>
        </w:rPr>
        <w:t xml:space="preserve"> </w:t>
      </w:r>
      <w:r w:rsidRPr="00DC1EE7">
        <w:rPr>
          <w:rFonts w:ascii="Arial" w:hAnsi="Arial" w:cs="Arial"/>
          <w:sz w:val="24"/>
          <w:szCs w:val="24"/>
        </w:rPr>
        <w:t>that</w:t>
      </w:r>
      <w:r w:rsidRPr="00DC1EE7">
        <w:rPr>
          <w:rFonts w:ascii="Arial" w:hAnsi="Arial" w:cs="Arial"/>
          <w:spacing w:val="-10"/>
          <w:sz w:val="24"/>
          <w:szCs w:val="24"/>
        </w:rPr>
        <w:t xml:space="preserve"> </w:t>
      </w:r>
      <w:r w:rsidRPr="00DC1EE7">
        <w:rPr>
          <w:rFonts w:ascii="Arial" w:hAnsi="Arial" w:cs="Arial"/>
          <w:sz w:val="24"/>
          <w:szCs w:val="24"/>
        </w:rPr>
        <w:t>(i)</w:t>
      </w:r>
      <w:r w:rsidRPr="00DC1EE7">
        <w:rPr>
          <w:rFonts w:ascii="Arial" w:hAnsi="Arial" w:cs="Arial"/>
          <w:spacing w:val="-12"/>
          <w:sz w:val="24"/>
          <w:szCs w:val="24"/>
        </w:rPr>
        <w:t xml:space="preserve"> </w:t>
      </w:r>
      <w:r w:rsidRPr="00DC1EE7">
        <w:rPr>
          <w:rFonts w:ascii="Arial" w:hAnsi="Arial" w:cs="Arial"/>
          <w:sz w:val="24"/>
          <w:szCs w:val="24"/>
        </w:rPr>
        <w:t>the</w:t>
      </w:r>
      <w:r w:rsidRPr="00DC1EE7">
        <w:rPr>
          <w:rFonts w:ascii="Arial" w:hAnsi="Arial" w:cs="Arial"/>
          <w:spacing w:val="-10"/>
          <w:sz w:val="24"/>
          <w:szCs w:val="24"/>
        </w:rPr>
        <w:t xml:space="preserve"> </w:t>
      </w:r>
      <w:r w:rsidRPr="00DC1EE7">
        <w:rPr>
          <w:rFonts w:ascii="Arial" w:hAnsi="Arial" w:cs="Arial"/>
          <w:sz w:val="24"/>
          <w:szCs w:val="24"/>
        </w:rPr>
        <w:t>entities</w:t>
      </w:r>
      <w:r w:rsidRPr="00DC1EE7">
        <w:rPr>
          <w:rFonts w:ascii="Arial" w:hAnsi="Arial" w:cs="Arial"/>
          <w:spacing w:val="-11"/>
          <w:sz w:val="24"/>
          <w:szCs w:val="24"/>
        </w:rPr>
        <w:t xml:space="preserve"> </w:t>
      </w:r>
      <w:r w:rsidRPr="00DC1EE7">
        <w:rPr>
          <w:rFonts w:ascii="Arial" w:hAnsi="Arial" w:cs="Arial"/>
          <w:sz w:val="24"/>
          <w:szCs w:val="24"/>
        </w:rPr>
        <w:t>providing</w:t>
      </w:r>
      <w:r w:rsidRPr="00DC1EE7">
        <w:rPr>
          <w:rFonts w:ascii="Arial" w:hAnsi="Arial" w:cs="Arial"/>
          <w:spacing w:val="-10"/>
          <w:sz w:val="24"/>
          <w:szCs w:val="24"/>
        </w:rPr>
        <w:t xml:space="preserve"> </w:t>
      </w:r>
      <w:r w:rsidRPr="00DC1EE7">
        <w:rPr>
          <w:rFonts w:ascii="Arial" w:hAnsi="Arial" w:cs="Arial"/>
          <w:sz w:val="24"/>
          <w:szCs w:val="24"/>
        </w:rPr>
        <w:t>power</w:t>
      </w:r>
      <w:r w:rsidRPr="00DC1EE7">
        <w:rPr>
          <w:rFonts w:ascii="Arial" w:hAnsi="Arial" w:cs="Arial"/>
          <w:spacing w:val="-12"/>
          <w:sz w:val="24"/>
          <w:szCs w:val="24"/>
        </w:rPr>
        <w:t xml:space="preserve"> </w:t>
      </w:r>
      <w:r w:rsidRPr="00DC1EE7">
        <w:rPr>
          <w:rFonts w:ascii="Arial" w:hAnsi="Arial" w:cs="Arial"/>
          <w:sz w:val="24"/>
          <w:szCs w:val="24"/>
        </w:rPr>
        <w:t>at</w:t>
      </w:r>
      <w:r w:rsidRPr="00DC1EE7">
        <w:rPr>
          <w:rFonts w:ascii="Arial" w:hAnsi="Arial" w:cs="Arial"/>
          <w:spacing w:val="-10"/>
          <w:sz w:val="24"/>
          <w:szCs w:val="24"/>
        </w:rPr>
        <w:t xml:space="preserve"> </w:t>
      </w:r>
      <w:r w:rsidRPr="00DC1EE7">
        <w:rPr>
          <w:rFonts w:ascii="Arial" w:hAnsi="Arial" w:cs="Arial"/>
          <w:sz w:val="24"/>
          <w:szCs w:val="24"/>
        </w:rPr>
        <w:t>allegedly</w:t>
      </w:r>
      <w:r w:rsidRPr="00DC1EE7">
        <w:rPr>
          <w:rFonts w:ascii="Arial" w:hAnsi="Arial" w:cs="Arial"/>
          <w:spacing w:val="-11"/>
          <w:sz w:val="24"/>
          <w:szCs w:val="24"/>
        </w:rPr>
        <w:t xml:space="preserve"> </w:t>
      </w:r>
      <w:r w:rsidRPr="00DC1EE7">
        <w:rPr>
          <w:rFonts w:ascii="Arial" w:hAnsi="Arial" w:cs="Arial"/>
          <w:sz w:val="24"/>
          <w:szCs w:val="24"/>
        </w:rPr>
        <w:t>reduced</w:t>
      </w:r>
      <w:r w:rsidRPr="00DC1EE7">
        <w:rPr>
          <w:rFonts w:ascii="Arial" w:hAnsi="Arial" w:cs="Arial"/>
          <w:spacing w:val="-11"/>
          <w:sz w:val="24"/>
          <w:szCs w:val="24"/>
        </w:rPr>
        <w:t xml:space="preserve"> </w:t>
      </w:r>
      <w:r w:rsidRPr="00DC1EE7">
        <w:rPr>
          <w:rFonts w:ascii="Arial" w:hAnsi="Arial" w:cs="Arial"/>
          <w:sz w:val="24"/>
          <w:szCs w:val="24"/>
        </w:rPr>
        <w:t>rates</w:t>
      </w:r>
      <w:r w:rsidRPr="00DC1EE7">
        <w:rPr>
          <w:rFonts w:ascii="Arial" w:hAnsi="Arial" w:cs="Arial"/>
          <w:spacing w:val="-10"/>
          <w:sz w:val="24"/>
          <w:szCs w:val="24"/>
        </w:rPr>
        <w:t xml:space="preserve"> </w:t>
      </w:r>
      <w:r w:rsidRPr="00DC1EE7">
        <w:rPr>
          <w:rFonts w:ascii="Arial" w:hAnsi="Arial" w:cs="Arial"/>
          <w:sz w:val="24"/>
          <w:szCs w:val="24"/>
        </w:rPr>
        <w:t>are</w:t>
      </w:r>
      <w:r w:rsidRPr="00DC1EE7">
        <w:rPr>
          <w:rFonts w:ascii="Arial" w:hAnsi="Arial" w:cs="Arial"/>
          <w:spacing w:val="-12"/>
          <w:sz w:val="24"/>
          <w:szCs w:val="24"/>
        </w:rPr>
        <w:t xml:space="preserve"> </w:t>
      </w:r>
      <w:r w:rsidRPr="00DC1EE7">
        <w:rPr>
          <w:rFonts w:ascii="Arial" w:hAnsi="Arial" w:cs="Arial"/>
          <w:sz w:val="24"/>
          <w:szCs w:val="24"/>
        </w:rPr>
        <w:t xml:space="preserve">public bodies within the meaning of Article 1.1(a)(1) of the SCM Agreement, and (ii) the alleged provision of power at </w:t>
      </w:r>
      <w:r w:rsidRPr="00DC1EE7">
        <w:rPr>
          <w:rFonts w:ascii="Arial" w:hAnsi="Arial" w:cs="Arial"/>
          <w:spacing w:val="-11"/>
          <w:sz w:val="24"/>
          <w:szCs w:val="24"/>
        </w:rPr>
        <w:t xml:space="preserve">LTAR </w:t>
      </w:r>
      <w:r w:rsidRPr="00DC1EE7">
        <w:rPr>
          <w:rFonts w:ascii="Arial" w:hAnsi="Arial" w:cs="Arial"/>
          <w:sz w:val="24"/>
          <w:szCs w:val="24"/>
        </w:rPr>
        <w:t xml:space="preserve">conferred a benefit to the </w:t>
      </w:r>
      <w:r w:rsidR="00DC1EE7">
        <w:rPr>
          <w:rFonts w:ascii="Arial" w:eastAsiaTheme="minorEastAsia" w:hAnsi="Arial" w:cs="Arial" w:hint="eastAsia"/>
          <w:sz w:val="24"/>
          <w:szCs w:val="24"/>
          <w:lang w:eastAsia="zh-CN"/>
        </w:rPr>
        <w:t>Excavator</w:t>
      </w:r>
      <w:r w:rsidRPr="00DC1EE7">
        <w:rPr>
          <w:rFonts w:ascii="Arial" w:hAnsi="Arial" w:cs="Arial"/>
          <w:sz w:val="24"/>
          <w:szCs w:val="24"/>
        </w:rPr>
        <w:t xml:space="preserve"> industry. As</w:t>
      </w:r>
      <w:r w:rsidRPr="00DC1EE7">
        <w:rPr>
          <w:rFonts w:ascii="Arial" w:hAnsi="Arial" w:cs="Arial"/>
          <w:spacing w:val="20"/>
          <w:sz w:val="24"/>
          <w:szCs w:val="24"/>
        </w:rPr>
        <w:t xml:space="preserve"> </w:t>
      </w:r>
      <w:r w:rsidRPr="00DC1EE7">
        <w:rPr>
          <w:rFonts w:ascii="Arial" w:hAnsi="Arial" w:cs="Arial"/>
          <w:sz w:val="24"/>
          <w:szCs w:val="24"/>
        </w:rPr>
        <w:t>noted</w:t>
      </w:r>
      <w:r w:rsidRPr="00DC1EE7">
        <w:rPr>
          <w:rFonts w:ascii="Arial" w:hAnsi="Arial" w:cs="Arial"/>
          <w:spacing w:val="18"/>
          <w:sz w:val="24"/>
          <w:szCs w:val="24"/>
        </w:rPr>
        <w:t xml:space="preserve"> </w:t>
      </w:r>
      <w:r w:rsidRPr="00DC1EE7">
        <w:rPr>
          <w:rFonts w:ascii="Arial" w:hAnsi="Arial" w:cs="Arial"/>
          <w:sz w:val="24"/>
          <w:szCs w:val="24"/>
        </w:rPr>
        <w:t>by</w:t>
      </w:r>
      <w:r w:rsidRPr="00DC1EE7">
        <w:rPr>
          <w:rFonts w:ascii="Arial" w:hAnsi="Arial" w:cs="Arial"/>
          <w:spacing w:val="20"/>
          <w:sz w:val="24"/>
          <w:szCs w:val="24"/>
        </w:rPr>
        <w:t xml:space="preserve"> </w:t>
      </w:r>
      <w:r w:rsidRPr="00DC1EE7">
        <w:rPr>
          <w:rFonts w:ascii="Arial" w:hAnsi="Arial" w:cs="Arial"/>
          <w:sz w:val="24"/>
          <w:szCs w:val="24"/>
        </w:rPr>
        <w:t>the</w:t>
      </w:r>
      <w:r w:rsidRPr="00DC1EE7">
        <w:rPr>
          <w:rFonts w:ascii="Arial" w:hAnsi="Arial" w:cs="Arial"/>
          <w:spacing w:val="18"/>
          <w:sz w:val="24"/>
          <w:szCs w:val="24"/>
        </w:rPr>
        <w:t xml:space="preserve"> </w:t>
      </w:r>
      <w:r w:rsidRPr="00DC1EE7">
        <w:rPr>
          <w:rFonts w:ascii="Arial" w:hAnsi="Arial" w:cs="Arial"/>
          <w:sz w:val="24"/>
          <w:szCs w:val="24"/>
        </w:rPr>
        <w:t>Panel</w:t>
      </w:r>
      <w:r w:rsidRPr="00DC1EE7">
        <w:rPr>
          <w:rFonts w:ascii="Arial" w:hAnsi="Arial" w:cs="Arial"/>
          <w:spacing w:val="18"/>
          <w:sz w:val="24"/>
          <w:szCs w:val="24"/>
        </w:rPr>
        <w:t xml:space="preserve"> </w:t>
      </w:r>
      <w:r w:rsidRPr="00DC1EE7">
        <w:rPr>
          <w:rFonts w:ascii="Arial" w:hAnsi="Arial" w:cs="Arial"/>
          <w:sz w:val="24"/>
          <w:szCs w:val="24"/>
        </w:rPr>
        <w:t xml:space="preserve">in </w:t>
      </w:r>
      <w:r w:rsidRPr="00DC1EE7">
        <w:rPr>
          <w:rFonts w:ascii="Arial" w:hAnsi="Arial" w:cs="Arial"/>
          <w:i/>
          <w:sz w:val="24"/>
          <w:szCs w:val="24"/>
        </w:rPr>
        <w:t>China – GOES</w:t>
      </w:r>
      <w:r w:rsidRPr="00DC1EE7">
        <w:rPr>
          <w:rFonts w:ascii="Arial" w:hAnsi="Arial" w:cs="Arial"/>
          <w:sz w:val="24"/>
          <w:szCs w:val="24"/>
        </w:rPr>
        <w:t>, historical evidence of benefit cannot prove the existence of a benefit in the investigation period especially if the subsidy is non-recurring and was granted several years prior to the investigation period.</w:t>
      </w:r>
      <w:r w:rsidR="00DC1EE7">
        <w:rPr>
          <w:rStyle w:val="ab"/>
          <w:rFonts w:ascii="Arial" w:hAnsi="Arial" w:cs="Arial"/>
          <w:sz w:val="24"/>
          <w:szCs w:val="24"/>
        </w:rPr>
        <w:footnoteReference w:id="55"/>
      </w:r>
      <w:r w:rsidRPr="00DC1EE7">
        <w:rPr>
          <w:rFonts w:ascii="Arial" w:hAnsi="Arial" w:cs="Arial"/>
          <w:sz w:val="24"/>
          <w:szCs w:val="24"/>
        </w:rPr>
        <w:t xml:space="preserve"> As already noted in relation to the alleged provision of LURs and raw materials at LTAR, the Application does not provide any </w:t>
      </w:r>
      <w:r w:rsidRPr="00DC1EE7">
        <w:rPr>
          <w:rFonts w:ascii="Arial" w:hAnsi="Arial" w:cs="Arial"/>
          <w:i/>
          <w:sz w:val="24"/>
          <w:szCs w:val="24"/>
        </w:rPr>
        <w:t xml:space="preserve">prima facie </w:t>
      </w:r>
      <w:r w:rsidRPr="00DC1EE7">
        <w:rPr>
          <w:rFonts w:ascii="Arial" w:hAnsi="Arial" w:cs="Arial"/>
          <w:sz w:val="24"/>
          <w:szCs w:val="24"/>
        </w:rPr>
        <w:t>evidence of the existence of this subsidy.</w:t>
      </w:r>
    </w:p>
    <w:p w14:paraId="62E195A9" w14:textId="77777777" w:rsidR="00F7585F" w:rsidRPr="00DC1EE7" w:rsidRDefault="00F7585F" w:rsidP="000F712A">
      <w:pPr>
        <w:pStyle w:val="a9"/>
        <w:widowControl w:val="0"/>
        <w:autoSpaceDE w:val="0"/>
        <w:autoSpaceDN w:val="0"/>
        <w:ind w:left="644" w:right="95"/>
        <w:contextualSpacing w:val="0"/>
        <w:rPr>
          <w:rFonts w:ascii="Arial" w:hAnsi="Arial" w:cs="Arial"/>
          <w:sz w:val="24"/>
          <w:szCs w:val="24"/>
        </w:rPr>
      </w:pPr>
    </w:p>
    <w:p w14:paraId="03375D99" w14:textId="72EE6B7B" w:rsidR="00F7585F" w:rsidRPr="000F712A" w:rsidRDefault="00F7585F" w:rsidP="001F79D9">
      <w:pPr>
        <w:pStyle w:val="a9"/>
        <w:widowControl w:val="0"/>
        <w:numPr>
          <w:ilvl w:val="0"/>
          <w:numId w:val="39"/>
        </w:numPr>
        <w:autoSpaceDE w:val="0"/>
        <w:autoSpaceDN w:val="0"/>
        <w:ind w:right="95" w:hanging="644"/>
        <w:contextualSpacing w:val="0"/>
        <w:rPr>
          <w:rFonts w:ascii="Arial" w:hAnsi="Arial" w:cs="Arial"/>
          <w:sz w:val="24"/>
          <w:szCs w:val="24"/>
        </w:rPr>
      </w:pPr>
      <w:r w:rsidRPr="000F712A">
        <w:rPr>
          <w:rFonts w:ascii="Arial" w:hAnsi="Arial" w:cs="Arial"/>
          <w:sz w:val="24"/>
          <w:szCs w:val="24"/>
        </w:rPr>
        <w:t xml:space="preserve">Second, in any case, the Applicant fails to provide any evidence of specificity within the meaning of Article 2 of the SCM Agreement. Indeed, the Applicant does not even attempt to explain how – let alone provide </w:t>
      </w:r>
      <w:r w:rsidRPr="000F712A">
        <w:rPr>
          <w:rFonts w:ascii="Arial" w:hAnsi="Arial" w:cs="Arial"/>
          <w:i/>
          <w:sz w:val="24"/>
          <w:szCs w:val="24"/>
        </w:rPr>
        <w:t xml:space="preserve">prima facie </w:t>
      </w:r>
      <w:r w:rsidRPr="000F712A">
        <w:rPr>
          <w:rFonts w:ascii="Arial" w:hAnsi="Arial" w:cs="Arial"/>
          <w:sz w:val="24"/>
          <w:szCs w:val="24"/>
        </w:rPr>
        <w:t xml:space="preserve">evidence that – the alleged provision of power at </w:t>
      </w:r>
      <w:r w:rsidRPr="000F712A">
        <w:rPr>
          <w:rFonts w:ascii="Arial" w:hAnsi="Arial" w:cs="Arial"/>
          <w:spacing w:val="-11"/>
          <w:sz w:val="24"/>
          <w:szCs w:val="24"/>
        </w:rPr>
        <w:t xml:space="preserve">LTAR </w:t>
      </w:r>
      <w:r w:rsidRPr="000F712A">
        <w:rPr>
          <w:rFonts w:ascii="Arial" w:hAnsi="Arial" w:cs="Arial"/>
          <w:sz w:val="24"/>
          <w:szCs w:val="24"/>
        </w:rPr>
        <w:t xml:space="preserve">would be specific to the Chinese </w:t>
      </w:r>
      <w:r w:rsidR="00DC1EE7" w:rsidRPr="000F712A">
        <w:rPr>
          <w:rFonts w:ascii="Arial" w:hAnsi="Arial" w:cs="Arial" w:hint="eastAsia"/>
          <w:sz w:val="24"/>
          <w:szCs w:val="24"/>
        </w:rPr>
        <w:t>Excavator</w:t>
      </w:r>
      <w:r w:rsidRPr="000F712A">
        <w:rPr>
          <w:rFonts w:ascii="Arial" w:hAnsi="Arial" w:cs="Arial"/>
          <w:sz w:val="24"/>
          <w:szCs w:val="24"/>
        </w:rPr>
        <w:t xml:space="preserve"> producers. Instead, the Applicant merely asserts that “</w:t>
      </w:r>
      <w:r w:rsidR="000F712A" w:rsidRPr="000F712A">
        <w:rPr>
          <w:rFonts w:ascii="Arial" w:hAnsi="Arial" w:cs="Arial"/>
          <w:i/>
          <w:sz w:val="24"/>
          <w:szCs w:val="24"/>
          <w:u w:val="single"/>
        </w:rPr>
        <w:t>Companies active in encouraged industries, such as the Excavator</w:t>
      </w:r>
      <w:r w:rsidR="000F712A" w:rsidRPr="000F712A">
        <w:rPr>
          <w:rFonts w:ascii="Arial" w:hAnsi="Arial" w:cs="Arial" w:hint="eastAsia"/>
          <w:i/>
          <w:sz w:val="24"/>
          <w:szCs w:val="24"/>
          <w:u w:val="single"/>
        </w:rPr>
        <w:t xml:space="preserve"> </w:t>
      </w:r>
      <w:r w:rsidR="000F712A" w:rsidRPr="000F712A">
        <w:rPr>
          <w:rFonts w:ascii="Arial" w:hAnsi="Arial" w:cs="Arial"/>
          <w:i/>
          <w:sz w:val="24"/>
          <w:szCs w:val="24"/>
          <w:u w:val="single"/>
        </w:rPr>
        <w:t>industry, receive electricity at LTAR. the GOC put in place policies that "explicitly outline[] several measures to</w:t>
      </w:r>
      <w:r w:rsidRPr="000F712A">
        <w:rPr>
          <w:rFonts w:ascii="Arial" w:hAnsi="Arial" w:cs="Arial"/>
          <w:sz w:val="24"/>
          <w:szCs w:val="24"/>
        </w:rPr>
        <w:t>”</w:t>
      </w:r>
      <w:r w:rsidRPr="000F712A">
        <w:rPr>
          <w:rFonts w:ascii="Arial" w:hAnsi="Arial" w:cs="Arial"/>
          <w:spacing w:val="-6"/>
          <w:sz w:val="24"/>
          <w:szCs w:val="24"/>
        </w:rPr>
        <w:t xml:space="preserve"> </w:t>
      </w:r>
      <w:r w:rsidRPr="000F712A">
        <w:rPr>
          <w:rFonts w:ascii="Arial" w:hAnsi="Arial" w:cs="Arial"/>
          <w:sz w:val="24"/>
          <w:szCs w:val="24"/>
        </w:rPr>
        <w:t>and</w:t>
      </w:r>
      <w:r w:rsidRPr="000F712A">
        <w:rPr>
          <w:rFonts w:ascii="Arial" w:hAnsi="Arial" w:cs="Arial"/>
          <w:spacing w:val="-4"/>
          <w:sz w:val="24"/>
          <w:szCs w:val="24"/>
        </w:rPr>
        <w:t xml:space="preserve"> </w:t>
      </w:r>
      <w:r w:rsidRPr="000F712A">
        <w:rPr>
          <w:rFonts w:ascii="Arial" w:hAnsi="Arial" w:cs="Arial"/>
          <w:sz w:val="24"/>
          <w:szCs w:val="24"/>
        </w:rPr>
        <w:t>that</w:t>
      </w:r>
      <w:r w:rsidRPr="000F712A">
        <w:rPr>
          <w:rFonts w:ascii="Arial" w:hAnsi="Arial" w:cs="Arial"/>
          <w:spacing w:val="-4"/>
          <w:sz w:val="24"/>
          <w:szCs w:val="24"/>
        </w:rPr>
        <w:t xml:space="preserve"> </w:t>
      </w:r>
      <w:r w:rsidRPr="000F712A">
        <w:rPr>
          <w:rFonts w:ascii="Arial" w:hAnsi="Arial" w:cs="Arial"/>
          <w:sz w:val="24"/>
          <w:szCs w:val="24"/>
        </w:rPr>
        <w:t>“</w:t>
      </w:r>
      <w:r w:rsidRPr="000F712A">
        <w:rPr>
          <w:rFonts w:ascii="Arial" w:hAnsi="Arial" w:cs="Arial"/>
          <w:i/>
          <w:sz w:val="24"/>
          <w:szCs w:val="24"/>
        </w:rPr>
        <w:t>encouraged</w:t>
      </w:r>
      <w:r w:rsidRPr="000F712A">
        <w:rPr>
          <w:rFonts w:ascii="Arial" w:hAnsi="Arial" w:cs="Arial"/>
          <w:i/>
          <w:spacing w:val="-4"/>
          <w:sz w:val="24"/>
          <w:szCs w:val="24"/>
        </w:rPr>
        <w:t xml:space="preserve"> </w:t>
      </w:r>
      <w:r w:rsidRPr="000F712A">
        <w:rPr>
          <w:rFonts w:ascii="Arial" w:hAnsi="Arial" w:cs="Arial"/>
          <w:i/>
          <w:sz w:val="24"/>
          <w:szCs w:val="24"/>
        </w:rPr>
        <w:t>industries,</w:t>
      </w:r>
      <w:r w:rsidRPr="000F712A">
        <w:rPr>
          <w:rFonts w:ascii="Arial" w:hAnsi="Arial" w:cs="Arial"/>
          <w:i/>
          <w:spacing w:val="-4"/>
          <w:sz w:val="24"/>
          <w:szCs w:val="24"/>
        </w:rPr>
        <w:t xml:space="preserve"> </w:t>
      </w:r>
      <w:r w:rsidRPr="000F712A">
        <w:rPr>
          <w:rFonts w:ascii="Arial" w:hAnsi="Arial" w:cs="Arial"/>
          <w:i/>
          <w:sz w:val="24"/>
          <w:szCs w:val="24"/>
        </w:rPr>
        <w:t>including</w:t>
      </w:r>
      <w:r w:rsidRPr="000F712A">
        <w:rPr>
          <w:rFonts w:ascii="Arial" w:hAnsi="Arial" w:cs="Arial"/>
          <w:i/>
          <w:spacing w:val="-4"/>
          <w:sz w:val="24"/>
          <w:szCs w:val="24"/>
        </w:rPr>
        <w:t xml:space="preserve"> </w:t>
      </w:r>
      <w:r w:rsidR="000F712A">
        <w:rPr>
          <w:rFonts w:ascii="Arial" w:hAnsi="Arial" w:cs="Arial" w:hint="eastAsia"/>
          <w:i/>
          <w:sz w:val="24"/>
          <w:szCs w:val="24"/>
        </w:rPr>
        <w:t>Excavator</w:t>
      </w:r>
      <w:r w:rsidRPr="000F712A">
        <w:rPr>
          <w:rFonts w:ascii="Arial" w:hAnsi="Arial" w:cs="Arial"/>
          <w:i/>
          <w:sz w:val="24"/>
          <w:szCs w:val="24"/>
        </w:rPr>
        <w:t>,</w:t>
      </w:r>
      <w:r w:rsidRPr="000F712A">
        <w:rPr>
          <w:rFonts w:ascii="Arial" w:hAnsi="Arial" w:cs="Arial"/>
          <w:i/>
          <w:spacing w:val="-4"/>
          <w:sz w:val="24"/>
          <w:szCs w:val="24"/>
        </w:rPr>
        <w:t xml:space="preserve"> are</w:t>
      </w:r>
      <w:r w:rsidRPr="000F712A">
        <w:rPr>
          <w:rFonts w:ascii="Arial" w:hAnsi="Arial" w:cs="Arial"/>
          <w:i/>
          <w:spacing w:val="-5"/>
          <w:sz w:val="24"/>
          <w:szCs w:val="24"/>
        </w:rPr>
        <w:t xml:space="preserve"> </w:t>
      </w:r>
      <w:r w:rsidRPr="000F712A">
        <w:rPr>
          <w:rFonts w:ascii="Arial" w:hAnsi="Arial" w:cs="Arial"/>
          <w:i/>
          <w:sz w:val="24"/>
          <w:szCs w:val="24"/>
        </w:rPr>
        <w:t>often</w:t>
      </w:r>
      <w:r w:rsidRPr="000F712A">
        <w:rPr>
          <w:rFonts w:ascii="Arial" w:hAnsi="Arial" w:cs="Arial"/>
          <w:i/>
          <w:spacing w:val="-4"/>
          <w:sz w:val="24"/>
          <w:szCs w:val="24"/>
        </w:rPr>
        <w:t xml:space="preserve"> </w:t>
      </w:r>
      <w:r w:rsidRPr="000F712A">
        <w:rPr>
          <w:rFonts w:ascii="Arial" w:hAnsi="Arial" w:cs="Arial"/>
          <w:i/>
          <w:sz w:val="24"/>
          <w:szCs w:val="24"/>
        </w:rPr>
        <w:lastRenderedPageBreak/>
        <w:t>entitled</w:t>
      </w:r>
      <w:r w:rsidRPr="000F712A">
        <w:rPr>
          <w:rFonts w:ascii="Arial" w:hAnsi="Arial" w:cs="Arial"/>
          <w:i/>
          <w:spacing w:val="-5"/>
          <w:sz w:val="24"/>
          <w:szCs w:val="24"/>
        </w:rPr>
        <w:t xml:space="preserve"> </w:t>
      </w:r>
      <w:r w:rsidRPr="000F712A">
        <w:rPr>
          <w:rFonts w:ascii="Arial" w:hAnsi="Arial" w:cs="Arial"/>
          <w:i/>
          <w:sz w:val="24"/>
          <w:szCs w:val="24"/>
        </w:rPr>
        <w:t>to</w:t>
      </w:r>
      <w:r w:rsidRPr="000F712A">
        <w:rPr>
          <w:rFonts w:ascii="Arial" w:hAnsi="Arial" w:cs="Arial"/>
          <w:i/>
          <w:spacing w:val="-3"/>
          <w:sz w:val="24"/>
          <w:szCs w:val="24"/>
        </w:rPr>
        <w:t xml:space="preserve"> </w:t>
      </w:r>
      <w:r w:rsidRPr="000F712A">
        <w:rPr>
          <w:rFonts w:ascii="Arial" w:hAnsi="Arial" w:cs="Arial"/>
          <w:i/>
          <w:sz w:val="24"/>
          <w:szCs w:val="24"/>
        </w:rPr>
        <w:t>discounts</w:t>
      </w:r>
      <w:r w:rsidRPr="000F712A">
        <w:rPr>
          <w:rFonts w:ascii="Arial" w:hAnsi="Arial" w:cs="Arial"/>
          <w:i/>
          <w:spacing w:val="-6"/>
          <w:sz w:val="24"/>
          <w:szCs w:val="24"/>
        </w:rPr>
        <w:t xml:space="preserve"> </w:t>
      </w:r>
      <w:r w:rsidRPr="000F712A">
        <w:rPr>
          <w:rFonts w:ascii="Arial" w:hAnsi="Arial" w:cs="Arial"/>
          <w:i/>
          <w:sz w:val="24"/>
          <w:szCs w:val="24"/>
        </w:rPr>
        <w:t>on electricity</w:t>
      </w:r>
      <w:r w:rsidRPr="000F712A">
        <w:rPr>
          <w:rFonts w:ascii="Arial" w:hAnsi="Arial" w:cs="Arial"/>
          <w:i/>
          <w:spacing w:val="-13"/>
          <w:sz w:val="24"/>
          <w:szCs w:val="24"/>
        </w:rPr>
        <w:t xml:space="preserve"> </w:t>
      </w:r>
      <w:r w:rsidRPr="000F712A">
        <w:rPr>
          <w:rFonts w:ascii="Arial" w:hAnsi="Arial" w:cs="Arial"/>
          <w:i/>
          <w:sz w:val="24"/>
          <w:szCs w:val="24"/>
        </w:rPr>
        <w:t>tariffs</w:t>
      </w:r>
      <w:r w:rsidRPr="000F712A">
        <w:rPr>
          <w:rFonts w:ascii="Arial" w:hAnsi="Arial" w:cs="Arial"/>
          <w:sz w:val="24"/>
          <w:szCs w:val="24"/>
        </w:rPr>
        <w:t>”.</w:t>
      </w:r>
      <w:r w:rsidRPr="000F712A">
        <w:rPr>
          <w:rFonts w:ascii="Arial" w:hAnsi="Arial" w:cs="Arial"/>
          <w:spacing w:val="-6"/>
          <w:sz w:val="24"/>
          <w:szCs w:val="24"/>
        </w:rPr>
        <w:t xml:space="preserve"> </w:t>
      </w:r>
      <w:r w:rsidRPr="000F712A">
        <w:rPr>
          <w:rFonts w:ascii="Arial" w:hAnsi="Arial" w:cs="Arial"/>
          <w:sz w:val="24"/>
          <w:szCs w:val="24"/>
        </w:rPr>
        <w:t>The</w:t>
      </w:r>
      <w:r w:rsidRPr="000F712A">
        <w:rPr>
          <w:rFonts w:ascii="Arial" w:hAnsi="Arial" w:cs="Arial"/>
          <w:spacing w:val="-13"/>
          <w:sz w:val="24"/>
          <w:szCs w:val="24"/>
        </w:rPr>
        <w:t xml:space="preserve"> </w:t>
      </w:r>
      <w:r w:rsidRPr="000F712A">
        <w:rPr>
          <w:rFonts w:ascii="Arial" w:hAnsi="Arial" w:cs="Arial"/>
          <w:sz w:val="24"/>
          <w:szCs w:val="24"/>
        </w:rPr>
        <w:t>ability</w:t>
      </w:r>
      <w:r w:rsidRPr="000F712A">
        <w:rPr>
          <w:rFonts w:ascii="Arial" w:hAnsi="Arial" w:cs="Arial"/>
          <w:spacing w:val="-11"/>
          <w:sz w:val="24"/>
          <w:szCs w:val="24"/>
        </w:rPr>
        <w:t xml:space="preserve"> </w:t>
      </w:r>
      <w:r w:rsidRPr="000F712A">
        <w:rPr>
          <w:rFonts w:ascii="Arial" w:hAnsi="Arial" w:cs="Arial"/>
          <w:sz w:val="24"/>
          <w:szCs w:val="24"/>
        </w:rPr>
        <w:t>to</w:t>
      </w:r>
      <w:r w:rsidRPr="000F712A">
        <w:rPr>
          <w:rFonts w:ascii="Arial" w:hAnsi="Arial" w:cs="Arial"/>
          <w:spacing w:val="-14"/>
          <w:sz w:val="24"/>
          <w:szCs w:val="24"/>
        </w:rPr>
        <w:t xml:space="preserve"> </w:t>
      </w:r>
      <w:r w:rsidRPr="000F712A">
        <w:rPr>
          <w:rFonts w:ascii="Arial" w:hAnsi="Arial" w:cs="Arial"/>
          <w:sz w:val="24"/>
          <w:szCs w:val="24"/>
        </w:rPr>
        <w:t>directly</w:t>
      </w:r>
      <w:r w:rsidRPr="000F712A">
        <w:rPr>
          <w:rFonts w:ascii="Arial" w:hAnsi="Arial" w:cs="Arial"/>
          <w:spacing w:val="-11"/>
          <w:sz w:val="24"/>
          <w:szCs w:val="24"/>
        </w:rPr>
        <w:t xml:space="preserve"> </w:t>
      </w:r>
      <w:r w:rsidRPr="000F712A">
        <w:rPr>
          <w:rFonts w:ascii="Arial" w:hAnsi="Arial" w:cs="Arial"/>
          <w:sz w:val="24"/>
          <w:szCs w:val="24"/>
        </w:rPr>
        <w:t>purchase</w:t>
      </w:r>
      <w:r w:rsidRPr="000F712A">
        <w:rPr>
          <w:rFonts w:ascii="Arial" w:hAnsi="Arial" w:cs="Arial"/>
          <w:spacing w:val="-9"/>
          <w:sz w:val="24"/>
          <w:szCs w:val="24"/>
        </w:rPr>
        <w:t xml:space="preserve"> </w:t>
      </w:r>
      <w:r w:rsidRPr="000F712A">
        <w:rPr>
          <w:rFonts w:ascii="Arial" w:hAnsi="Arial" w:cs="Arial"/>
          <w:sz w:val="24"/>
          <w:szCs w:val="24"/>
        </w:rPr>
        <w:t>electricity</w:t>
      </w:r>
      <w:r w:rsidRPr="000F712A">
        <w:rPr>
          <w:rFonts w:ascii="Arial" w:hAnsi="Arial" w:cs="Arial"/>
          <w:spacing w:val="-12"/>
          <w:sz w:val="24"/>
          <w:szCs w:val="24"/>
        </w:rPr>
        <w:t xml:space="preserve"> </w:t>
      </w:r>
      <w:r w:rsidRPr="000F712A">
        <w:rPr>
          <w:rFonts w:ascii="Arial" w:hAnsi="Arial" w:cs="Arial"/>
          <w:sz w:val="24"/>
          <w:szCs w:val="24"/>
        </w:rPr>
        <w:t>from</w:t>
      </w:r>
      <w:r w:rsidRPr="000F712A">
        <w:rPr>
          <w:rFonts w:ascii="Arial" w:hAnsi="Arial" w:cs="Arial"/>
          <w:spacing w:val="-11"/>
          <w:sz w:val="24"/>
          <w:szCs w:val="24"/>
        </w:rPr>
        <w:t xml:space="preserve"> </w:t>
      </w:r>
      <w:r w:rsidRPr="000F712A">
        <w:rPr>
          <w:rFonts w:ascii="Arial" w:hAnsi="Arial" w:cs="Arial"/>
          <w:sz w:val="24"/>
          <w:szCs w:val="24"/>
        </w:rPr>
        <w:t>power</w:t>
      </w:r>
      <w:r w:rsidRPr="000F712A">
        <w:rPr>
          <w:rFonts w:ascii="Arial" w:hAnsi="Arial" w:cs="Arial"/>
          <w:spacing w:val="-13"/>
          <w:sz w:val="24"/>
          <w:szCs w:val="24"/>
        </w:rPr>
        <w:t xml:space="preserve"> </w:t>
      </w:r>
      <w:r w:rsidRPr="000F712A">
        <w:rPr>
          <w:rFonts w:ascii="Arial" w:hAnsi="Arial" w:cs="Arial"/>
          <w:sz w:val="24"/>
          <w:szCs w:val="24"/>
        </w:rPr>
        <w:t>generators</w:t>
      </w:r>
      <w:r w:rsidRPr="000F712A">
        <w:rPr>
          <w:rFonts w:ascii="Arial" w:hAnsi="Arial" w:cs="Arial"/>
          <w:spacing w:val="-11"/>
          <w:sz w:val="24"/>
          <w:szCs w:val="24"/>
        </w:rPr>
        <w:t xml:space="preserve"> </w:t>
      </w:r>
      <w:r w:rsidRPr="000F712A">
        <w:rPr>
          <w:rFonts w:ascii="Arial" w:hAnsi="Arial" w:cs="Arial"/>
          <w:sz w:val="24"/>
          <w:szCs w:val="24"/>
        </w:rPr>
        <w:t>does</w:t>
      </w:r>
      <w:r w:rsidRPr="000F712A">
        <w:rPr>
          <w:rFonts w:ascii="Arial" w:hAnsi="Arial" w:cs="Arial"/>
          <w:spacing w:val="-11"/>
          <w:sz w:val="24"/>
          <w:szCs w:val="24"/>
        </w:rPr>
        <w:t xml:space="preserve"> </w:t>
      </w:r>
      <w:r w:rsidRPr="000F712A">
        <w:rPr>
          <w:rFonts w:ascii="Arial" w:hAnsi="Arial" w:cs="Arial"/>
          <w:sz w:val="24"/>
          <w:szCs w:val="24"/>
        </w:rPr>
        <w:t>not amount to a financial contribution or</w:t>
      </w:r>
      <w:r w:rsidRPr="000F712A">
        <w:rPr>
          <w:rFonts w:ascii="Arial" w:hAnsi="Arial" w:cs="Arial"/>
          <w:spacing w:val="-1"/>
          <w:sz w:val="24"/>
          <w:szCs w:val="24"/>
        </w:rPr>
        <w:t xml:space="preserve"> </w:t>
      </w:r>
      <w:r w:rsidRPr="000F712A">
        <w:rPr>
          <w:rFonts w:ascii="Arial" w:hAnsi="Arial" w:cs="Arial"/>
          <w:sz w:val="24"/>
          <w:szCs w:val="24"/>
        </w:rPr>
        <w:t>benefit.</w:t>
      </w:r>
    </w:p>
    <w:p w14:paraId="7E0E6AF4" w14:textId="77777777" w:rsidR="00F7585F" w:rsidRPr="00DC1EE7" w:rsidRDefault="00F7585F" w:rsidP="000F712A">
      <w:pPr>
        <w:pStyle w:val="a9"/>
        <w:widowControl w:val="0"/>
        <w:autoSpaceDE w:val="0"/>
        <w:autoSpaceDN w:val="0"/>
        <w:spacing w:before="241"/>
        <w:ind w:left="644" w:right="95"/>
        <w:rPr>
          <w:rFonts w:ascii="Arial" w:hAnsi="Arial" w:cs="Arial"/>
          <w:sz w:val="24"/>
          <w:szCs w:val="24"/>
        </w:rPr>
      </w:pPr>
    </w:p>
    <w:p w14:paraId="2058E6F3" w14:textId="59B0C2D5" w:rsidR="000F712A" w:rsidRPr="000F712A" w:rsidRDefault="000F712A" w:rsidP="001F79D9">
      <w:pPr>
        <w:pStyle w:val="a9"/>
        <w:widowControl w:val="0"/>
        <w:numPr>
          <w:ilvl w:val="0"/>
          <w:numId w:val="39"/>
        </w:numPr>
        <w:autoSpaceDE w:val="0"/>
        <w:autoSpaceDN w:val="0"/>
        <w:spacing w:before="241"/>
        <w:ind w:right="95" w:hanging="644"/>
        <w:rPr>
          <w:rFonts w:ascii="Arial" w:hAnsi="Arial" w:cs="Arial"/>
          <w:sz w:val="24"/>
          <w:szCs w:val="24"/>
        </w:rPr>
      </w:pPr>
      <w:r w:rsidRPr="000F712A">
        <w:rPr>
          <w:rFonts w:ascii="Arial" w:hAnsi="Arial" w:cs="Arial"/>
          <w:sz w:val="24"/>
          <w:szCs w:val="24"/>
        </w:rPr>
        <w:t>It is noted that the Chinese government is conducting the marketization of electricity and it encourages direct transactions between electricity generation companies and electricity users. The prices are determined by the supply and demand on the market.</w:t>
      </w:r>
    </w:p>
    <w:p w14:paraId="0DA0A9CF" w14:textId="77777777" w:rsidR="000F712A" w:rsidRPr="000F712A" w:rsidRDefault="000F712A" w:rsidP="000F712A">
      <w:pPr>
        <w:pStyle w:val="a9"/>
        <w:widowControl w:val="0"/>
        <w:autoSpaceDE w:val="0"/>
        <w:autoSpaceDN w:val="0"/>
        <w:spacing w:before="241"/>
        <w:ind w:left="644" w:right="95"/>
        <w:rPr>
          <w:rFonts w:ascii="Arial" w:hAnsi="Arial" w:cs="Arial"/>
          <w:sz w:val="24"/>
          <w:szCs w:val="24"/>
        </w:rPr>
      </w:pPr>
    </w:p>
    <w:p w14:paraId="679F2025" w14:textId="07F133ED" w:rsidR="000F712A" w:rsidRPr="000F712A" w:rsidRDefault="000F712A" w:rsidP="001F79D9">
      <w:pPr>
        <w:pStyle w:val="a9"/>
        <w:widowControl w:val="0"/>
        <w:numPr>
          <w:ilvl w:val="0"/>
          <w:numId w:val="39"/>
        </w:numPr>
        <w:autoSpaceDE w:val="0"/>
        <w:autoSpaceDN w:val="0"/>
        <w:spacing w:before="241"/>
        <w:ind w:right="95" w:hanging="644"/>
        <w:rPr>
          <w:rFonts w:ascii="Arial" w:hAnsi="Arial" w:cs="Arial"/>
          <w:sz w:val="24"/>
          <w:szCs w:val="24"/>
        </w:rPr>
      </w:pPr>
      <w:r w:rsidRPr="000F712A">
        <w:rPr>
          <w:rFonts w:ascii="Arial" w:hAnsi="Arial" w:cs="Arial"/>
          <w:sz w:val="24"/>
          <w:szCs w:val="24"/>
        </w:rPr>
        <w:t>The GOC submits that notes that no specificity exists with respect to the provision of electricity. There are a vast number of user industries for electricity. The industries that purchase/use electricity are not limited to the excavator industry, and the excavator industry in China is not a disproportionate or predominant consumer of electricity. The GOC does not impose any limitation on the consumption of electricity by law or policy. Indeed, all companies located in the same region are entitled to the same electricity rate, irrespective of the business sectors. Therefore, the investigation into the alleged provision of electricity at LTAR is inconsistent with Articles 11.2 and 11.3 of the SCM Agreement in this case.</w:t>
      </w:r>
    </w:p>
    <w:p w14:paraId="5EA12340" w14:textId="77777777" w:rsidR="000F712A" w:rsidRPr="000F712A" w:rsidRDefault="000F712A" w:rsidP="000F712A">
      <w:pPr>
        <w:pStyle w:val="a9"/>
        <w:widowControl w:val="0"/>
        <w:autoSpaceDE w:val="0"/>
        <w:autoSpaceDN w:val="0"/>
        <w:spacing w:before="241"/>
        <w:ind w:left="644" w:right="95"/>
        <w:rPr>
          <w:rFonts w:ascii="Arial" w:hAnsi="Arial" w:cs="Arial"/>
          <w:sz w:val="24"/>
          <w:szCs w:val="24"/>
        </w:rPr>
      </w:pPr>
    </w:p>
    <w:p w14:paraId="2689A054" w14:textId="4FB61D3A" w:rsidR="00CF2F8C" w:rsidRPr="000F712A" w:rsidRDefault="000F712A" w:rsidP="001F79D9">
      <w:pPr>
        <w:pStyle w:val="a9"/>
        <w:widowControl w:val="0"/>
        <w:numPr>
          <w:ilvl w:val="0"/>
          <w:numId w:val="39"/>
        </w:numPr>
        <w:autoSpaceDE w:val="0"/>
        <w:autoSpaceDN w:val="0"/>
        <w:spacing w:before="241"/>
        <w:ind w:right="95" w:hanging="644"/>
        <w:contextualSpacing w:val="0"/>
        <w:rPr>
          <w:rFonts w:ascii="Arial" w:hAnsi="Arial" w:cs="Arial"/>
          <w:sz w:val="24"/>
        </w:rPr>
      </w:pPr>
      <w:r w:rsidRPr="000F712A">
        <w:rPr>
          <w:rFonts w:ascii="Arial" w:hAnsi="Arial" w:cs="Arial"/>
          <w:sz w:val="24"/>
          <w:szCs w:val="24"/>
        </w:rPr>
        <w:t>Notably, in October 2021, the commercial and industrial electricity catalogue sales price was abolished, and there are no longer any commercial and in-dustrial electricity prices in the electricity price tables.  In the Notice of the National Development and Reform Commission on Further Deepening the Market-oriented Reform of On-grid Electricity Price for Coal-fired Power Generation (see Appendix C3.1</w:t>
      </w:r>
      <w:r w:rsidR="008A35F6">
        <w:rPr>
          <w:rFonts w:ascii="Arial" w:hAnsi="Arial" w:cs="Arial" w:hint="eastAsia"/>
          <w:sz w:val="24"/>
          <w:szCs w:val="24"/>
        </w:rPr>
        <w:t xml:space="preserve"> of GOC AS Questionnaire</w:t>
      </w:r>
      <w:r w:rsidRPr="000F712A">
        <w:rPr>
          <w:rFonts w:ascii="Arial" w:hAnsi="Arial" w:cs="Arial"/>
          <w:sz w:val="24"/>
          <w:szCs w:val="24"/>
        </w:rPr>
        <w:t xml:space="preserve">),  (“FGJG (2021) 1439”) issued in October 2021, the NDRC expressly requires local authorities to abolish the commercial and industrial electricity catalogue sales prices and thus all commercial and industrial electricity users to enter into the electricity trading market.  Accordingly, the provinces updated their electricity sale price tariffs, and the catalogue prices for large-scale industrial electricity and general </w:t>
      </w:r>
      <w:r w:rsidRPr="000F712A">
        <w:rPr>
          <w:rFonts w:ascii="Arial" w:hAnsi="Arial" w:cs="Arial"/>
          <w:sz w:val="24"/>
          <w:szCs w:val="24"/>
        </w:rPr>
        <w:lastRenderedPageBreak/>
        <w:t>commercial and industrial electricity, which are the electricity categories used by indus-trial users such as the respondents, were no longer included in the tariffs.  This most recent electricity reform demonstrates that the marketization of power prices for the commercial and industry users has been completed.  The NDRC or provincial governments no longer sets the electricity tariffs for commercial and industrial electricity users.</w:t>
      </w:r>
    </w:p>
    <w:p w14:paraId="4024E483" w14:textId="77777777" w:rsidR="000F712A" w:rsidRPr="000F712A" w:rsidRDefault="000F712A" w:rsidP="000F712A">
      <w:pPr>
        <w:pStyle w:val="a9"/>
        <w:widowControl w:val="0"/>
        <w:autoSpaceDE w:val="0"/>
        <w:autoSpaceDN w:val="0"/>
        <w:spacing w:before="241"/>
        <w:ind w:left="644" w:right="95"/>
        <w:contextualSpacing w:val="0"/>
        <w:rPr>
          <w:rFonts w:ascii="Arial" w:hAnsi="Arial" w:cs="Arial"/>
          <w:sz w:val="24"/>
        </w:rPr>
      </w:pPr>
    </w:p>
    <w:p w14:paraId="600A9BF6" w14:textId="3E69147D" w:rsidR="000F712A" w:rsidRDefault="000F712A" w:rsidP="000F712A">
      <w:pPr>
        <w:pStyle w:val="3"/>
        <w:spacing w:before="0"/>
        <w:rPr>
          <w:rFonts w:ascii="Arial" w:eastAsiaTheme="minorEastAsia" w:hAnsi="Arial" w:cs="Arial"/>
          <w:b/>
          <w:bCs/>
          <w:color w:val="auto"/>
        </w:rPr>
      </w:pPr>
      <w:bookmarkStart w:id="38" w:name="_Toc161355133"/>
      <w:r w:rsidRPr="0038092C">
        <w:rPr>
          <w:rFonts w:ascii="Arial" w:eastAsia="Times New Roman" w:hAnsi="Arial" w:cs="Arial"/>
          <w:b/>
          <w:bCs/>
          <w:color w:val="auto"/>
          <w:lang w:eastAsia="en-US"/>
        </w:rPr>
        <w:t xml:space="preserve">Alleged provision of </w:t>
      </w:r>
      <w:r>
        <w:rPr>
          <w:rFonts w:ascii="Arial" w:eastAsiaTheme="minorEastAsia" w:hAnsi="Arial" w:cs="Arial" w:hint="eastAsia"/>
          <w:b/>
          <w:bCs/>
          <w:color w:val="auto"/>
        </w:rPr>
        <w:t>export credit insurance</w:t>
      </w:r>
      <w:r w:rsidRPr="0038092C">
        <w:rPr>
          <w:rFonts w:ascii="Arial" w:eastAsia="Times New Roman" w:hAnsi="Arial" w:cs="Arial"/>
          <w:b/>
          <w:bCs/>
          <w:color w:val="auto"/>
          <w:lang w:eastAsia="en-US"/>
        </w:rPr>
        <w:t xml:space="preserve"> at LTAR</w:t>
      </w:r>
      <w:bookmarkEnd w:id="38"/>
      <w:r w:rsidRPr="00131C50">
        <w:rPr>
          <w:rFonts w:ascii="Arial" w:eastAsia="Times New Roman" w:hAnsi="Arial" w:cs="Arial"/>
          <w:b/>
          <w:bCs/>
          <w:color w:val="auto"/>
          <w:lang w:eastAsia="en-US"/>
        </w:rPr>
        <w:t xml:space="preserve"> </w:t>
      </w:r>
    </w:p>
    <w:p w14:paraId="52303284" w14:textId="77777777" w:rsidR="005C47C6" w:rsidRDefault="005C47C6" w:rsidP="005C47C6">
      <w:pPr>
        <w:pStyle w:val="a9"/>
        <w:widowControl w:val="0"/>
        <w:autoSpaceDE w:val="0"/>
        <w:autoSpaceDN w:val="0"/>
        <w:spacing w:before="90"/>
        <w:ind w:left="644" w:right="-46"/>
        <w:rPr>
          <w:rFonts w:ascii="Arial" w:hAnsi="Arial" w:cs="Arial"/>
          <w:sz w:val="24"/>
          <w:szCs w:val="24"/>
        </w:rPr>
      </w:pPr>
    </w:p>
    <w:p w14:paraId="4648BE32" w14:textId="503F144A" w:rsidR="005C47C6" w:rsidRPr="005C47C6" w:rsidRDefault="005C47C6" w:rsidP="001F79D9">
      <w:pPr>
        <w:pStyle w:val="a9"/>
        <w:widowControl w:val="0"/>
        <w:numPr>
          <w:ilvl w:val="0"/>
          <w:numId w:val="39"/>
        </w:numPr>
        <w:autoSpaceDE w:val="0"/>
        <w:autoSpaceDN w:val="0"/>
        <w:spacing w:before="90"/>
        <w:ind w:right="-46" w:hanging="644"/>
        <w:rPr>
          <w:rFonts w:ascii="Arial" w:hAnsi="Arial" w:cs="Arial"/>
          <w:sz w:val="24"/>
          <w:szCs w:val="24"/>
        </w:rPr>
      </w:pPr>
      <w:r w:rsidRPr="005C47C6">
        <w:rPr>
          <w:rFonts w:ascii="Arial" w:hAnsi="Arial" w:cs="Arial"/>
          <w:sz w:val="24"/>
          <w:szCs w:val="24"/>
        </w:rPr>
        <w:t xml:space="preserve">The Applicant claims that preferential export credit insurance and guarantees are granted to </w:t>
      </w:r>
      <w:r w:rsidRPr="005C47C6">
        <w:rPr>
          <w:rFonts w:ascii="Arial" w:hAnsi="Arial" w:cs="Arial" w:hint="eastAsia"/>
          <w:sz w:val="24"/>
          <w:szCs w:val="24"/>
        </w:rPr>
        <w:t>Excavator</w:t>
      </w:r>
      <w:r w:rsidRPr="005C47C6">
        <w:rPr>
          <w:rFonts w:ascii="Arial" w:hAnsi="Arial" w:cs="Arial"/>
          <w:sz w:val="24"/>
          <w:szCs w:val="24"/>
        </w:rPr>
        <w:t xml:space="preserve"> producers and constitute a countervailable subsidy because (i) the China Export &amp;</w:t>
      </w:r>
      <w:r w:rsidRPr="005C47C6">
        <w:rPr>
          <w:rFonts w:ascii="Arial" w:hAnsi="Arial" w:cs="Arial"/>
          <w:spacing w:val="-28"/>
          <w:sz w:val="24"/>
          <w:szCs w:val="24"/>
        </w:rPr>
        <w:t xml:space="preserve"> </w:t>
      </w:r>
      <w:r w:rsidRPr="005C47C6">
        <w:rPr>
          <w:rFonts w:ascii="Arial" w:hAnsi="Arial" w:cs="Arial"/>
          <w:sz w:val="24"/>
          <w:szCs w:val="24"/>
        </w:rPr>
        <w:t>Credit Insurance Corporation (“Sinosure”) itself has stated that it is 100% owned by the GOC,</w:t>
      </w:r>
      <w:r w:rsidRPr="005C47C6">
        <w:rPr>
          <w:rFonts w:ascii="Arial" w:hAnsi="Arial" w:cs="Arial" w:hint="eastAsia"/>
          <w:sz w:val="24"/>
          <w:szCs w:val="24"/>
        </w:rPr>
        <w:t xml:space="preserve"> </w:t>
      </w:r>
      <w:r w:rsidRPr="005C47C6">
        <w:rPr>
          <w:rFonts w:ascii="Arial" w:hAnsi="Arial" w:cs="Arial"/>
          <w:sz w:val="24"/>
          <w:szCs w:val="24"/>
        </w:rPr>
        <w:t>established and supported by the GOC to support the PRC's foreign</w:t>
      </w:r>
      <w:r w:rsidRPr="005C47C6">
        <w:rPr>
          <w:rFonts w:ascii="Arial" w:hAnsi="Arial" w:cs="Arial" w:hint="eastAsia"/>
          <w:sz w:val="24"/>
          <w:szCs w:val="24"/>
        </w:rPr>
        <w:t xml:space="preserve"> </w:t>
      </w:r>
      <w:r w:rsidRPr="005C47C6">
        <w:rPr>
          <w:rFonts w:ascii="Arial" w:hAnsi="Arial" w:cs="Arial"/>
          <w:sz w:val="24"/>
          <w:szCs w:val="24"/>
        </w:rPr>
        <w:t>economic and trade development and cooperation.373 It is led and controlled</w:t>
      </w:r>
      <w:r w:rsidRPr="005C47C6">
        <w:rPr>
          <w:rFonts w:ascii="Arial" w:hAnsi="Arial" w:cs="Arial" w:hint="eastAsia"/>
          <w:sz w:val="24"/>
          <w:szCs w:val="24"/>
        </w:rPr>
        <w:t xml:space="preserve"> </w:t>
      </w:r>
      <w:r w:rsidRPr="005C47C6">
        <w:rPr>
          <w:rFonts w:ascii="Arial" w:hAnsi="Arial" w:cs="Arial"/>
          <w:sz w:val="24"/>
          <w:szCs w:val="24"/>
        </w:rPr>
        <w:t>by the GOC, and implements decisions of the CCP, and (ii) is a GOC body</w:t>
      </w:r>
      <w:r w:rsidRPr="005C47C6">
        <w:rPr>
          <w:rFonts w:ascii="Arial" w:hAnsi="Arial" w:cs="Arial" w:hint="eastAsia"/>
          <w:sz w:val="24"/>
          <w:szCs w:val="24"/>
        </w:rPr>
        <w:t xml:space="preserve"> </w:t>
      </w:r>
      <w:r w:rsidRPr="005C47C6">
        <w:rPr>
          <w:rFonts w:ascii="Arial" w:hAnsi="Arial" w:cs="Arial"/>
          <w:sz w:val="24"/>
          <w:szCs w:val="24"/>
        </w:rPr>
        <w:t>that provides preferential export credit insurance at LTAR to encouraged</w:t>
      </w:r>
      <w:r w:rsidRPr="005C47C6">
        <w:rPr>
          <w:rFonts w:ascii="Arial" w:hAnsi="Arial" w:cs="Arial" w:hint="eastAsia"/>
          <w:sz w:val="24"/>
          <w:szCs w:val="24"/>
        </w:rPr>
        <w:t xml:space="preserve"> </w:t>
      </w:r>
      <w:r w:rsidRPr="005C47C6">
        <w:rPr>
          <w:rFonts w:ascii="Arial" w:hAnsi="Arial" w:cs="Arial"/>
          <w:sz w:val="24"/>
          <w:szCs w:val="24"/>
        </w:rPr>
        <w:t>industries, such as the Excavator industry”.</w:t>
      </w:r>
      <w:r>
        <w:rPr>
          <w:rStyle w:val="ab"/>
          <w:rFonts w:ascii="Arial" w:hAnsi="Arial" w:cs="Arial"/>
          <w:sz w:val="24"/>
          <w:szCs w:val="24"/>
        </w:rPr>
        <w:footnoteReference w:id="56"/>
      </w:r>
    </w:p>
    <w:p w14:paraId="711310AA" w14:textId="77777777" w:rsidR="005C47C6" w:rsidRPr="005C47C6" w:rsidRDefault="005C47C6" w:rsidP="005C47C6">
      <w:pPr>
        <w:pStyle w:val="a9"/>
        <w:widowControl w:val="0"/>
        <w:autoSpaceDE w:val="0"/>
        <w:autoSpaceDN w:val="0"/>
        <w:spacing w:before="90"/>
        <w:ind w:left="644" w:right="-46"/>
        <w:rPr>
          <w:rFonts w:ascii="Arial" w:hAnsi="Arial" w:cs="Arial"/>
          <w:sz w:val="24"/>
          <w:szCs w:val="24"/>
        </w:rPr>
      </w:pPr>
    </w:p>
    <w:p w14:paraId="5C67C1EF" w14:textId="13A61525" w:rsidR="005C47C6" w:rsidRPr="00810D2D" w:rsidRDefault="005C47C6" w:rsidP="001F79D9">
      <w:pPr>
        <w:pStyle w:val="a9"/>
        <w:widowControl w:val="0"/>
        <w:numPr>
          <w:ilvl w:val="0"/>
          <w:numId w:val="39"/>
        </w:numPr>
        <w:autoSpaceDE w:val="0"/>
        <w:autoSpaceDN w:val="0"/>
        <w:spacing w:before="9"/>
        <w:ind w:left="567" w:right="-46" w:hanging="567"/>
        <w:contextualSpacing w:val="0"/>
        <w:rPr>
          <w:rFonts w:ascii="Arial" w:hAnsi="Arial" w:cs="Arial"/>
          <w:sz w:val="24"/>
          <w:szCs w:val="24"/>
        </w:rPr>
      </w:pPr>
      <w:r w:rsidRPr="00810D2D">
        <w:rPr>
          <w:rFonts w:ascii="Arial" w:hAnsi="Arial" w:cs="Arial"/>
          <w:sz w:val="24"/>
          <w:szCs w:val="24"/>
        </w:rPr>
        <w:t xml:space="preserve">The </w:t>
      </w:r>
      <w:r w:rsidR="00810D2D" w:rsidRPr="00810D2D">
        <w:rPr>
          <w:rFonts w:ascii="Arial" w:hAnsi="Arial" w:cs="Arial" w:hint="eastAsia"/>
          <w:sz w:val="24"/>
          <w:szCs w:val="24"/>
        </w:rPr>
        <w:t>Applicant</w:t>
      </w:r>
      <w:r w:rsidRPr="00810D2D">
        <w:rPr>
          <w:rFonts w:ascii="Arial" w:hAnsi="Arial" w:cs="Arial"/>
          <w:sz w:val="24"/>
          <w:szCs w:val="24"/>
        </w:rPr>
        <w:t xml:space="preserve">’s </w:t>
      </w:r>
      <w:r w:rsidR="00810D2D" w:rsidRPr="00810D2D">
        <w:rPr>
          <w:rFonts w:ascii="Arial" w:hAnsi="Arial" w:cs="Arial" w:hint="eastAsia"/>
          <w:sz w:val="24"/>
          <w:szCs w:val="24"/>
        </w:rPr>
        <w:t>reference to the TRA</w:t>
      </w:r>
      <w:r w:rsidR="00810D2D" w:rsidRPr="00810D2D">
        <w:rPr>
          <w:rFonts w:ascii="Arial" w:hAnsi="Arial" w:cs="Arial"/>
          <w:sz w:val="24"/>
          <w:szCs w:val="24"/>
        </w:rPr>
        <w:t>’</w:t>
      </w:r>
      <w:r w:rsidR="00810D2D" w:rsidRPr="00810D2D">
        <w:rPr>
          <w:rFonts w:ascii="Arial" w:hAnsi="Arial" w:cs="Arial" w:hint="eastAsia"/>
          <w:sz w:val="24"/>
          <w:szCs w:val="24"/>
        </w:rPr>
        <w:t xml:space="preserve">s </w:t>
      </w:r>
      <w:r w:rsidRPr="00810D2D">
        <w:rPr>
          <w:rFonts w:ascii="Arial" w:hAnsi="Arial" w:cs="Arial"/>
          <w:sz w:val="24"/>
          <w:szCs w:val="24"/>
        </w:rPr>
        <w:t>finding that Sinosure acted as a public body in that case does not allow for the conclusion that the same can be assumed for an entirely unrelated industry,</w:t>
      </w:r>
      <w:r w:rsidRPr="00810D2D">
        <w:rPr>
          <w:rFonts w:ascii="Arial" w:hAnsi="Arial" w:cs="Arial"/>
          <w:spacing w:val="-10"/>
          <w:sz w:val="24"/>
          <w:szCs w:val="24"/>
        </w:rPr>
        <w:t xml:space="preserve"> </w:t>
      </w:r>
      <w:r w:rsidRPr="00810D2D">
        <w:rPr>
          <w:rFonts w:ascii="Arial" w:hAnsi="Arial" w:cs="Arial"/>
          <w:sz w:val="24"/>
          <w:szCs w:val="24"/>
        </w:rPr>
        <w:t>especially</w:t>
      </w:r>
      <w:r w:rsidRPr="00810D2D">
        <w:rPr>
          <w:rFonts w:ascii="Arial" w:hAnsi="Arial" w:cs="Arial"/>
          <w:spacing w:val="-10"/>
          <w:sz w:val="24"/>
          <w:szCs w:val="24"/>
        </w:rPr>
        <w:t xml:space="preserve"> </w:t>
      </w:r>
      <w:r w:rsidRPr="00810D2D">
        <w:rPr>
          <w:rFonts w:ascii="Arial" w:hAnsi="Arial" w:cs="Arial"/>
          <w:sz w:val="24"/>
          <w:szCs w:val="24"/>
        </w:rPr>
        <w:t>since</w:t>
      </w:r>
      <w:r w:rsidRPr="00810D2D">
        <w:rPr>
          <w:rFonts w:ascii="Arial" w:hAnsi="Arial" w:cs="Arial"/>
          <w:spacing w:val="-10"/>
          <w:sz w:val="24"/>
          <w:szCs w:val="24"/>
        </w:rPr>
        <w:t xml:space="preserve"> </w:t>
      </w:r>
      <w:r w:rsidRPr="00810D2D">
        <w:rPr>
          <w:rFonts w:ascii="Arial" w:hAnsi="Arial" w:cs="Arial"/>
          <w:sz w:val="24"/>
          <w:szCs w:val="24"/>
        </w:rPr>
        <w:t>the</w:t>
      </w:r>
      <w:r w:rsidRPr="00810D2D">
        <w:rPr>
          <w:rFonts w:ascii="Arial" w:hAnsi="Arial" w:cs="Arial"/>
          <w:spacing w:val="-10"/>
          <w:sz w:val="24"/>
          <w:szCs w:val="24"/>
        </w:rPr>
        <w:t xml:space="preserve"> </w:t>
      </w:r>
      <w:r w:rsidRPr="00810D2D">
        <w:rPr>
          <w:rFonts w:ascii="Arial" w:hAnsi="Arial" w:cs="Arial"/>
          <w:sz w:val="24"/>
          <w:szCs w:val="24"/>
        </w:rPr>
        <w:t>quoted</w:t>
      </w:r>
      <w:r w:rsidRPr="00810D2D">
        <w:rPr>
          <w:rFonts w:ascii="Arial" w:hAnsi="Arial" w:cs="Arial"/>
          <w:spacing w:val="-10"/>
          <w:sz w:val="24"/>
          <w:szCs w:val="24"/>
        </w:rPr>
        <w:t xml:space="preserve"> </w:t>
      </w:r>
      <w:r w:rsidRPr="00810D2D">
        <w:rPr>
          <w:rFonts w:ascii="Arial" w:hAnsi="Arial" w:cs="Arial"/>
          <w:sz w:val="24"/>
          <w:szCs w:val="24"/>
        </w:rPr>
        <w:t>decision</w:t>
      </w:r>
      <w:r w:rsidRPr="00810D2D">
        <w:rPr>
          <w:rFonts w:ascii="Arial" w:hAnsi="Arial" w:cs="Arial"/>
          <w:spacing w:val="-11"/>
          <w:sz w:val="24"/>
          <w:szCs w:val="24"/>
        </w:rPr>
        <w:t xml:space="preserve"> </w:t>
      </w:r>
      <w:r w:rsidRPr="00810D2D">
        <w:rPr>
          <w:rFonts w:ascii="Arial" w:hAnsi="Arial" w:cs="Arial"/>
          <w:sz w:val="24"/>
          <w:szCs w:val="24"/>
        </w:rPr>
        <w:t>was</w:t>
      </w:r>
      <w:r w:rsidRPr="00810D2D">
        <w:rPr>
          <w:rFonts w:ascii="Arial" w:hAnsi="Arial" w:cs="Arial"/>
          <w:spacing w:val="-10"/>
          <w:sz w:val="24"/>
          <w:szCs w:val="24"/>
        </w:rPr>
        <w:t xml:space="preserve"> </w:t>
      </w:r>
      <w:r w:rsidRPr="00810D2D">
        <w:rPr>
          <w:rFonts w:ascii="Arial" w:hAnsi="Arial" w:cs="Arial"/>
          <w:sz w:val="24"/>
          <w:szCs w:val="24"/>
        </w:rPr>
        <w:t>based</w:t>
      </w:r>
      <w:r w:rsidRPr="00810D2D">
        <w:rPr>
          <w:rFonts w:ascii="Arial" w:hAnsi="Arial" w:cs="Arial"/>
          <w:spacing w:val="-10"/>
          <w:sz w:val="24"/>
          <w:szCs w:val="24"/>
        </w:rPr>
        <w:t xml:space="preserve"> </w:t>
      </w:r>
      <w:r w:rsidRPr="00810D2D">
        <w:rPr>
          <w:rFonts w:ascii="Arial" w:hAnsi="Arial" w:cs="Arial"/>
          <w:sz w:val="24"/>
          <w:szCs w:val="24"/>
        </w:rPr>
        <w:t>on</w:t>
      </w:r>
      <w:r w:rsidRPr="00810D2D">
        <w:rPr>
          <w:rFonts w:ascii="Arial" w:hAnsi="Arial" w:cs="Arial"/>
          <w:spacing w:val="-10"/>
          <w:sz w:val="24"/>
          <w:szCs w:val="24"/>
        </w:rPr>
        <w:t xml:space="preserve"> </w:t>
      </w:r>
      <w:r w:rsidRPr="00810D2D">
        <w:rPr>
          <w:rFonts w:ascii="Arial" w:hAnsi="Arial" w:cs="Arial"/>
          <w:sz w:val="24"/>
          <w:szCs w:val="24"/>
        </w:rPr>
        <w:t>facts</w:t>
      </w:r>
      <w:r w:rsidRPr="00810D2D">
        <w:rPr>
          <w:rFonts w:ascii="Arial" w:hAnsi="Arial" w:cs="Arial"/>
          <w:spacing w:val="-9"/>
          <w:sz w:val="24"/>
          <w:szCs w:val="24"/>
        </w:rPr>
        <w:t xml:space="preserve"> </w:t>
      </w:r>
      <w:r w:rsidRPr="00810D2D">
        <w:rPr>
          <w:rFonts w:ascii="Arial" w:hAnsi="Arial" w:cs="Arial"/>
          <w:sz w:val="24"/>
          <w:szCs w:val="24"/>
        </w:rPr>
        <w:t>available,</w:t>
      </w:r>
      <w:r w:rsidRPr="00810D2D">
        <w:rPr>
          <w:rFonts w:ascii="Arial" w:hAnsi="Arial" w:cs="Arial"/>
          <w:spacing w:val="-1"/>
          <w:sz w:val="24"/>
          <w:szCs w:val="24"/>
        </w:rPr>
        <w:t xml:space="preserve"> </w:t>
      </w:r>
      <w:r w:rsidRPr="00810D2D">
        <w:rPr>
          <w:rFonts w:ascii="Arial" w:hAnsi="Arial" w:cs="Arial"/>
          <w:sz w:val="24"/>
          <w:szCs w:val="24"/>
        </w:rPr>
        <w:t>and,</w:t>
      </w:r>
      <w:r w:rsidRPr="00810D2D">
        <w:rPr>
          <w:rFonts w:ascii="Arial" w:hAnsi="Arial" w:cs="Arial"/>
          <w:spacing w:val="-10"/>
          <w:sz w:val="24"/>
          <w:szCs w:val="24"/>
        </w:rPr>
        <w:t xml:space="preserve"> </w:t>
      </w:r>
      <w:r w:rsidRPr="00810D2D">
        <w:rPr>
          <w:rFonts w:ascii="Arial" w:hAnsi="Arial" w:cs="Arial"/>
          <w:sz w:val="24"/>
          <w:szCs w:val="24"/>
        </w:rPr>
        <w:t>in</w:t>
      </w:r>
      <w:r w:rsidRPr="00810D2D">
        <w:rPr>
          <w:rFonts w:ascii="Arial" w:hAnsi="Arial" w:cs="Arial"/>
          <w:spacing w:val="-9"/>
          <w:sz w:val="24"/>
          <w:szCs w:val="24"/>
        </w:rPr>
        <w:t xml:space="preserve"> </w:t>
      </w:r>
      <w:r w:rsidRPr="00810D2D">
        <w:rPr>
          <w:rFonts w:ascii="Arial" w:hAnsi="Arial" w:cs="Arial"/>
          <w:sz w:val="24"/>
          <w:szCs w:val="24"/>
        </w:rPr>
        <w:t>any</w:t>
      </w:r>
      <w:r w:rsidRPr="00810D2D">
        <w:rPr>
          <w:rFonts w:ascii="Arial" w:hAnsi="Arial" w:cs="Arial"/>
          <w:spacing w:val="-10"/>
          <w:sz w:val="24"/>
          <w:szCs w:val="24"/>
        </w:rPr>
        <w:t xml:space="preserve"> </w:t>
      </w:r>
      <w:r w:rsidRPr="00810D2D">
        <w:rPr>
          <w:rFonts w:ascii="Arial" w:hAnsi="Arial" w:cs="Arial"/>
          <w:sz w:val="24"/>
          <w:szCs w:val="24"/>
        </w:rPr>
        <w:t>event, each</w:t>
      </w:r>
      <w:r w:rsidRPr="00810D2D">
        <w:rPr>
          <w:rFonts w:ascii="Arial" w:hAnsi="Arial" w:cs="Arial"/>
          <w:spacing w:val="-4"/>
          <w:sz w:val="24"/>
          <w:szCs w:val="24"/>
        </w:rPr>
        <w:t xml:space="preserve"> </w:t>
      </w:r>
      <w:r w:rsidRPr="00810D2D">
        <w:rPr>
          <w:rFonts w:ascii="Arial" w:hAnsi="Arial" w:cs="Arial"/>
          <w:sz w:val="24"/>
          <w:szCs w:val="24"/>
        </w:rPr>
        <w:t>export</w:t>
      </w:r>
      <w:r w:rsidRPr="00810D2D">
        <w:rPr>
          <w:rFonts w:ascii="Arial" w:hAnsi="Arial" w:cs="Arial"/>
          <w:spacing w:val="-4"/>
          <w:sz w:val="24"/>
          <w:szCs w:val="24"/>
        </w:rPr>
        <w:t xml:space="preserve"> </w:t>
      </w:r>
      <w:r w:rsidRPr="00810D2D">
        <w:rPr>
          <w:rFonts w:ascii="Arial" w:hAnsi="Arial" w:cs="Arial"/>
          <w:sz w:val="24"/>
          <w:szCs w:val="24"/>
        </w:rPr>
        <w:t>credit</w:t>
      </w:r>
      <w:r w:rsidRPr="00810D2D">
        <w:rPr>
          <w:rFonts w:ascii="Arial" w:hAnsi="Arial" w:cs="Arial"/>
          <w:spacing w:val="-6"/>
          <w:sz w:val="24"/>
          <w:szCs w:val="24"/>
        </w:rPr>
        <w:t xml:space="preserve"> </w:t>
      </w:r>
      <w:r w:rsidRPr="00810D2D">
        <w:rPr>
          <w:rFonts w:ascii="Arial" w:hAnsi="Arial" w:cs="Arial"/>
          <w:sz w:val="24"/>
          <w:szCs w:val="24"/>
        </w:rPr>
        <w:t>guarantee</w:t>
      </w:r>
      <w:r w:rsidRPr="00810D2D">
        <w:rPr>
          <w:rFonts w:ascii="Arial" w:hAnsi="Arial" w:cs="Arial"/>
          <w:spacing w:val="-6"/>
          <w:sz w:val="24"/>
          <w:szCs w:val="24"/>
        </w:rPr>
        <w:t xml:space="preserve"> </w:t>
      </w:r>
      <w:r w:rsidRPr="00810D2D">
        <w:rPr>
          <w:rFonts w:ascii="Arial" w:hAnsi="Arial" w:cs="Arial"/>
          <w:sz w:val="24"/>
          <w:szCs w:val="24"/>
        </w:rPr>
        <w:t>is</w:t>
      </w:r>
      <w:r w:rsidRPr="00810D2D">
        <w:rPr>
          <w:rFonts w:ascii="Arial" w:hAnsi="Arial" w:cs="Arial"/>
          <w:spacing w:val="-5"/>
          <w:sz w:val="24"/>
          <w:szCs w:val="24"/>
        </w:rPr>
        <w:t xml:space="preserve"> </w:t>
      </w:r>
      <w:r w:rsidRPr="00810D2D">
        <w:rPr>
          <w:rFonts w:ascii="Arial" w:hAnsi="Arial" w:cs="Arial"/>
          <w:sz w:val="24"/>
          <w:szCs w:val="24"/>
        </w:rPr>
        <w:t>case</w:t>
      </w:r>
      <w:r w:rsidRPr="00810D2D">
        <w:rPr>
          <w:rFonts w:ascii="Arial" w:hAnsi="Arial" w:cs="Arial"/>
          <w:spacing w:val="-5"/>
          <w:sz w:val="24"/>
          <w:szCs w:val="24"/>
        </w:rPr>
        <w:t xml:space="preserve"> </w:t>
      </w:r>
      <w:r w:rsidRPr="00810D2D">
        <w:rPr>
          <w:rFonts w:ascii="Arial" w:hAnsi="Arial" w:cs="Arial"/>
          <w:sz w:val="24"/>
          <w:szCs w:val="24"/>
        </w:rPr>
        <w:t>and</w:t>
      </w:r>
      <w:r w:rsidRPr="00810D2D">
        <w:rPr>
          <w:rFonts w:ascii="Arial" w:hAnsi="Arial" w:cs="Arial"/>
          <w:spacing w:val="-5"/>
          <w:sz w:val="24"/>
          <w:szCs w:val="24"/>
        </w:rPr>
        <w:t xml:space="preserve"> </w:t>
      </w:r>
      <w:r w:rsidRPr="00810D2D">
        <w:rPr>
          <w:rFonts w:ascii="Arial" w:hAnsi="Arial" w:cs="Arial"/>
          <w:sz w:val="24"/>
          <w:szCs w:val="24"/>
        </w:rPr>
        <w:t>product-specific.</w:t>
      </w:r>
      <w:r w:rsidRPr="00810D2D">
        <w:rPr>
          <w:rFonts w:ascii="Arial" w:hAnsi="Arial" w:cs="Arial"/>
          <w:spacing w:val="-18"/>
          <w:sz w:val="24"/>
          <w:szCs w:val="24"/>
        </w:rPr>
        <w:t xml:space="preserve"> </w:t>
      </w:r>
      <w:r w:rsidRPr="00810D2D">
        <w:rPr>
          <w:rFonts w:ascii="Arial" w:hAnsi="Arial" w:cs="Arial"/>
          <w:sz w:val="24"/>
          <w:szCs w:val="24"/>
        </w:rPr>
        <w:t>As</w:t>
      </w:r>
      <w:r w:rsidRPr="00810D2D">
        <w:rPr>
          <w:rFonts w:ascii="Arial" w:hAnsi="Arial" w:cs="Arial"/>
          <w:spacing w:val="-4"/>
          <w:sz w:val="24"/>
          <w:szCs w:val="24"/>
        </w:rPr>
        <w:t xml:space="preserve"> </w:t>
      </w:r>
      <w:r w:rsidRPr="00810D2D">
        <w:rPr>
          <w:rFonts w:ascii="Arial" w:hAnsi="Arial" w:cs="Arial"/>
          <w:sz w:val="24"/>
          <w:szCs w:val="24"/>
        </w:rPr>
        <w:t>confirmed</w:t>
      </w:r>
      <w:r w:rsidRPr="00810D2D">
        <w:rPr>
          <w:rFonts w:ascii="Arial" w:hAnsi="Arial" w:cs="Arial"/>
          <w:spacing w:val="-6"/>
          <w:sz w:val="24"/>
          <w:szCs w:val="24"/>
        </w:rPr>
        <w:t xml:space="preserve"> </w:t>
      </w:r>
      <w:r w:rsidRPr="00810D2D">
        <w:rPr>
          <w:rFonts w:ascii="Arial" w:hAnsi="Arial" w:cs="Arial"/>
          <w:sz w:val="24"/>
          <w:szCs w:val="24"/>
        </w:rPr>
        <w:t>by</w:t>
      </w:r>
      <w:r w:rsidRPr="00810D2D">
        <w:rPr>
          <w:rFonts w:ascii="Arial" w:hAnsi="Arial" w:cs="Arial"/>
          <w:spacing w:val="-6"/>
          <w:sz w:val="24"/>
          <w:szCs w:val="24"/>
        </w:rPr>
        <w:t xml:space="preserve"> </w:t>
      </w:r>
      <w:r w:rsidRPr="00810D2D">
        <w:rPr>
          <w:rFonts w:ascii="Arial" w:hAnsi="Arial" w:cs="Arial"/>
          <w:sz w:val="24"/>
          <w:szCs w:val="24"/>
        </w:rPr>
        <w:t>the</w:t>
      </w:r>
      <w:r w:rsidRPr="00810D2D">
        <w:rPr>
          <w:rFonts w:ascii="Arial" w:hAnsi="Arial" w:cs="Arial"/>
          <w:spacing w:val="-5"/>
          <w:sz w:val="24"/>
          <w:szCs w:val="24"/>
        </w:rPr>
        <w:t xml:space="preserve"> </w:t>
      </w:r>
      <w:r w:rsidRPr="00810D2D">
        <w:rPr>
          <w:rFonts w:ascii="Arial" w:hAnsi="Arial" w:cs="Arial"/>
          <w:sz w:val="24"/>
          <w:szCs w:val="24"/>
        </w:rPr>
        <w:t>Panel</w:t>
      </w:r>
      <w:r w:rsidRPr="00810D2D">
        <w:rPr>
          <w:rFonts w:ascii="Arial" w:hAnsi="Arial" w:cs="Arial"/>
          <w:spacing w:val="-6"/>
          <w:sz w:val="24"/>
          <w:szCs w:val="24"/>
        </w:rPr>
        <w:t xml:space="preserve"> </w:t>
      </w:r>
      <w:r w:rsidRPr="00810D2D">
        <w:rPr>
          <w:rFonts w:ascii="Arial" w:hAnsi="Arial" w:cs="Arial"/>
          <w:sz w:val="24"/>
          <w:szCs w:val="24"/>
        </w:rPr>
        <w:t>in</w:t>
      </w:r>
      <w:r w:rsidRPr="00810D2D">
        <w:rPr>
          <w:rFonts w:ascii="Arial" w:hAnsi="Arial" w:cs="Arial"/>
          <w:spacing w:val="-3"/>
          <w:sz w:val="24"/>
          <w:szCs w:val="24"/>
        </w:rPr>
        <w:t xml:space="preserve"> </w:t>
      </w:r>
      <w:r w:rsidRPr="00810D2D">
        <w:rPr>
          <w:rFonts w:ascii="Arial" w:hAnsi="Arial" w:cs="Arial"/>
          <w:i/>
          <w:sz w:val="24"/>
          <w:szCs w:val="24"/>
        </w:rPr>
        <w:t>EC</w:t>
      </w:r>
      <w:r w:rsidRPr="00810D2D">
        <w:rPr>
          <w:rFonts w:ascii="Arial" w:hAnsi="Arial" w:cs="Arial"/>
          <w:i/>
          <w:spacing w:val="-6"/>
          <w:sz w:val="24"/>
          <w:szCs w:val="24"/>
        </w:rPr>
        <w:t xml:space="preserve"> </w:t>
      </w:r>
      <w:r w:rsidRPr="00810D2D">
        <w:rPr>
          <w:rFonts w:ascii="Arial" w:hAnsi="Arial" w:cs="Arial"/>
          <w:i/>
          <w:sz w:val="24"/>
          <w:szCs w:val="24"/>
        </w:rPr>
        <w:t>and certain member States – Large Civil Aircraft</w:t>
      </w:r>
      <w:r w:rsidRPr="00810D2D">
        <w:rPr>
          <w:rFonts w:ascii="Arial" w:hAnsi="Arial" w:cs="Arial"/>
          <w:sz w:val="24"/>
          <w:szCs w:val="24"/>
        </w:rPr>
        <w:t xml:space="preserve">, findings in previous investigations </w:t>
      </w:r>
      <w:r w:rsidRPr="00810D2D">
        <w:rPr>
          <w:rFonts w:ascii="Arial" w:hAnsi="Arial" w:cs="Arial"/>
          <w:sz w:val="24"/>
          <w:szCs w:val="24"/>
          <w:u w:val="single"/>
        </w:rPr>
        <w:t>may not</w:t>
      </w:r>
      <w:r w:rsidRPr="00810D2D">
        <w:rPr>
          <w:rFonts w:ascii="Arial" w:hAnsi="Arial" w:cs="Arial"/>
          <w:sz w:val="24"/>
          <w:szCs w:val="24"/>
        </w:rPr>
        <w:t xml:space="preserve"> be used to substantiate claims of material injury if the previous investigations relate to other industries.</w:t>
      </w:r>
      <w:r w:rsidR="00810D2D">
        <w:rPr>
          <w:rStyle w:val="ab"/>
          <w:rFonts w:ascii="Arial" w:hAnsi="Arial" w:cs="Arial"/>
          <w:sz w:val="24"/>
          <w:szCs w:val="24"/>
        </w:rPr>
        <w:footnoteReference w:id="57"/>
      </w:r>
      <w:r w:rsidR="00810D2D" w:rsidRPr="00810D2D">
        <w:rPr>
          <w:rFonts w:ascii="Arial" w:hAnsi="Arial" w:cs="Arial" w:hint="eastAsia"/>
          <w:sz w:val="24"/>
          <w:szCs w:val="24"/>
          <w:vertAlign w:val="superscript"/>
        </w:rPr>
        <w:t xml:space="preserve"> </w:t>
      </w:r>
      <w:r w:rsidRPr="00810D2D">
        <w:rPr>
          <w:rFonts w:ascii="Arial" w:hAnsi="Arial" w:cs="Arial"/>
          <w:sz w:val="24"/>
          <w:szCs w:val="24"/>
        </w:rPr>
        <w:t xml:space="preserve">Thus, the Applicant has not provided even </w:t>
      </w:r>
      <w:r w:rsidRPr="00810D2D">
        <w:rPr>
          <w:rFonts w:ascii="Arial" w:hAnsi="Arial" w:cs="Arial"/>
          <w:i/>
          <w:sz w:val="24"/>
          <w:szCs w:val="24"/>
        </w:rPr>
        <w:t xml:space="preserve">prima facie </w:t>
      </w:r>
      <w:r w:rsidRPr="00810D2D">
        <w:rPr>
          <w:rFonts w:ascii="Arial" w:hAnsi="Arial" w:cs="Arial"/>
          <w:sz w:val="24"/>
          <w:szCs w:val="24"/>
        </w:rPr>
        <w:t xml:space="preserve">evidence of subsidization to the </w:t>
      </w:r>
      <w:r w:rsidR="00810D2D" w:rsidRPr="00810D2D">
        <w:rPr>
          <w:rFonts w:ascii="Arial" w:hAnsi="Arial" w:cs="Arial" w:hint="eastAsia"/>
          <w:sz w:val="24"/>
          <w:szCs w:val="24"/>
        </w:rPr>
        <w:t>Excavator</w:t>
      </w:r>
      <w:r w:rsidRPr="00810D2D">
        <w:rPr>
          <w:rFonts w:ascii="Arial" w:hAnsi="Arial" w:cs="Arial"/>
          <w:sz w:val="24"/>
          <w:szCs w:val="24"/>
        </w:rPr>
        <w:t xml:space="preserve"> industry.</w:t>
      </w:r>
    </w:p>
    <w:p w14:paraId="1387D8E6" w14:textId="77777777" w:rsidR="005C47C6" w:rsidRPr="005C47C6" w:rsidRDefault="005C47C6" w:rsidP="005C47C6">
      <w:pPr>
        <w:pStyle w:val="a7"/>
        <w:spacing w:before="10"/>
        <w:ind w:left="567" w:right="-46"/>
        <w:rPr>
          <w:rFonts w:ascii="Arial" w:hAnsi="Arial" w:cs="Arial"/>
          <w:sz w:val="24"/>
          <w:szCs w:val="24"/>
        </w:rPr>
      </w:pPr>
    </w:p>
    <w:p w14:paraId="5D98B8AF" w14:textId="77777777" w:rsidR="005C47C6" w:rsidRPr="005C47C6" w:rsidRDefault="005C47C6" w:rsidP="001F79D9">
      <w:pPr>
        <w:pStyle w:val="a9"/>
        <w:widowControl w:val="0"/>
        <w:numPr>
          <w:ilvl w:val="0"/>
          <w:numId w:val="39"/>
        </w:numPr>
        <w:autoSpaceDE w:val="0"/>
        <w:autoSpaceDN w:val="0"/>
        <w:spacing w:before="1"/>
        <w:ind w:left="567" w:right="-46"/>
        <w:contextualSpacing w:val="0"/>
        <w:rPr>
          <w:rFonts w:ascii="Arial" w:hAnsi="Arial" w:cs="Arial"/>
          <w:sz w:val="24"/>
          <w:szCs w:val="24"/>
        </w:rPr>
      </w:pPr>
      <w:r w:rsidRPr="005C47C6">
        <w:rPr>
          <w:rFonts w:ascii="Arial" w:hAnsi="Arial" w:cs="Arial"/>
          <w:sz w:val="24"/>
          <w:szCs w:val="24"/>
        </w:rPr>
        <w:lastRenderedPageBreak/>
        <w:t>Without</w:t>
      </w:r>
      <w:r w:rsidRPr="005C47C6">
        <w:rPr>
          <w:rFonts w:ascii="Arial" w:hAnsi="Arial" w:cs="Arial"/>
          <w:spacing w:val="-7"/>
          <w:sz w:val="24"/>
          <w:szCs w:val="24"/>
        </w:rPr>
        <w:t xml:space="preserve"> </w:t>
      </w:r>
      <w:r w:rsidRPr="005C47C6">
        <w:rPr>
          <w:rFonts w:ascii="Arial" w:hAnsi="Arial" w:cs="Arial"/>
          <w:sz w:val="24"/>
          <w:szCs w:val="24"/>
        </w:rPr>
        <w:t>prejudice</w:t>
      </w:r>
      <w:r w:rsidRPr="005C47C6">
        <w:rPr>
          <w:rFonts w:ascii="Arial" w:hAnsi="Arial" w:cs="Arial"/>
          <w:spacing w:val="-5"/>
          <w:sz w:val="24"/>
          <w:szCs w:val="24"/>
        </w:rPr>
        <w:t xml:space="preserve"> </w:t>
      </w:r>
      <w:r w:rsidRPr="005C47C6">
        <w:rPr>
          <w:rFonts w:ascii="Arial" w:hAnsi="Arial" w:cs="Arial"/>
          <w:sz w:val="24"/>
          <w:szCs w:val="24"/>
        </w:rPr>
        <w:t>to</w:t>
      </w:r>
      <w:r w:rsidRPr="005C47C6">
        <w:rPr>
          <w:rFonts w:ascii="Arial" w:hAnsi="Arial" w:cs="Arial"/>
          <w:spacing w:val="-6"/>
          <w:sz w:val="24"/>
          <w:szCs w:val="24"/>
        </w:rPr>
        <w:t xml:space="preserve"> </w:t>
      </w:r>
      <w:r w:rsidRPr="005C47C6">
        <w:rPr>
          <w:rFonts w:ascii="Arial" w:hAnsi="Arial" w:cs="Arial"/>
          <w:sz w:val="24"/>
          <w:szCs w:val="24"/>
        </w:rPr>
        <w:t>the</w:t>
      </w:r>
      <w:r w:rsidRPr="005C47C6">
        <w:rPr>
          <w:rFonts w:ascii="Arial" w:hAnsi="Arial" w:cs="Arial"/>
          <w:spacing w:val="-3"/>
          <w:sz w:val="24"/>
          <w:szCs w:val="24"/>
        </w:rPr>
        <w:t xml:space="preserve"> </w:t>
      </w:r>
      <w:r w:rsidRPr="005C47C6">
        <w:rPr>
          <w:rFonts w:ascii="Arial" w:hAnsi="Arial" w:cs="Arial"/>
          <w:sz w:val="24"/>
          <w:szCs w:val="24"/>
        </w:rPr>
        <w:t>above,</w:t>
      </w:r>
      <w:r w:rsidRPr="005C47C6">
        <w:rPr>
          <w:rFonts w:ascii="Arial" w:hAnsi="Arial" w:cs="Arial"/>
          <w:spacing w:val="-5"/>
          <w:sz w:val="24"/>
          <w:szCs w:val="24"/>
        </w:rPr>
        <w:t xml:space="preserve"> </w:t>
      </w:r>
      <w:r w:rsidRPr="005C47C6">
        <w:rPr>
          <w:rFonts w:ascii="Arial" w:hAnsi="Arial" w:cs="Arial"/>
          <w:sz w:val="24"/>
          <w:szCs w:val="24"/>
        </w:rPr>
        <w:t>the</w:t>
      </w:r>
      <w:r w:rsidRPr="005C47C6">
        <w:rPr>
          <w:rFonts w:ascii="Arial" w:hAnsi="Arial" w:cs="Arial"/>
          <w:spacing w:val="-5"/>
          <w:sz w:val="24"/>
          <w:szCs w:val="24"/>
        </w:rPr>
        <w:t xml:space="preserve"> </w:t>
      </w:r>
      <w:r w:rsidRPr="005C47C6">
        <w:rPr>
          <w:rFonts w:ascii="Arial" w:hAnsi="Arial" w:cs="Arial"/>
          <w:sz w:val="24"/>
          <w:szCs w:val="24"/>
        </w:rPr>
        <w:t>GOC</w:t>
      </w:r>
      <w:r w:rsidRPr="005C47C6">
        <w:rPr>
          <w:rFonts w:ascii="Arial" w:hAnsi="Arial" w:cs="Arial"/>
          <w:spacing w:val="-4"/>
          <w:sz w:val="24"/>
          <w:szCs w:val="24"/>
        </w:rPr>
        <w:t xml:space="preserve"> </w:t>
      </w:r>
      <w:r w:rsidRPr="005C47C6">
        <w:rPr>
          <w:rFonts w:ascii="Arial" w:hAnsi="Arial" w:cs="Arial"/>
          <w:sz w:val="24"/>
          <w:szCs w:val="24"/>
        </w:rPr>
        <w:t>notes</w:t>
      </w:r>
      <w:r w:rsidRPr="005C47C6">
        <w:rPr>
          <w:rFonts w:ascii="Arial" w:hAnsi="Arial" w:cs="Arial"/>
          <w:spacing w:val="-7"/>
          <w:sz w:val="24"/>
          <w:szCs w:val="24"/>
        </w:rPr>
        <w:t xml:space="preserve"> </w:t>
      </w:r>
      <w:r w:rsidRPr="005C47C6">
        <w:rPr>
          <w:rFonts w:ascii="Arial" w:hAnsi="Arial" w:cs="Arial"/>
          <w:sz w:val="24"/>
          <w:szCs w:val="24"/>
        </w:rPr>
        <w:t>that,</w:t>
      </w:r>
      <w:r w:rsidRPr="005C47C6">
        <w:rPr>
          <w:rFonts w:ascii="Arial" w:hAnsi="Arial" w:cs="Arial"/>
          <w:spacing w:val="-6"/>
          <w:sz w:val="24"/>
          <w:szCs w:val="24"/>
        </w:rPr>
        <w:t xml:space="preserve"> </w:t>
      </w:r>
      <w:r w:rsidRPr="005C47C6">
        <w:rPr>
          <w:rFonts w:ascii="Arial" w:hAnsi="Arial" w:cs="Arial"/>
          <w:sz w:val="24"/>
          <w:szCs w:val="24"/>
        </w:rPr>
        <w:t>for</w:t>
      </w:r>
      <w:r w:rsidRPr="005C47C6">
        <w:rPr>
          <w:rFonts w:ascii="Arial" w:hAnsi="Arial" w:cs="Arial"/>
          <w:spacing w:val="-5"/>
          <w:sz w:val="24"/>
          <w:szCs w:val="24"/>
        </w:rPr>
        <w:t xml:space="preserve"> </w:t>
      </w:r>
      <w:r w:rsidRPr="005C47C6">
        <w:rPr>
          <w:rFonts w:ascii="Arial" w:hAnsi="Arial" w:cs="Arial"/>
          <w:sz w:val="24"/>
          <w:szCs w:val="24"/>
        </w:rPr>
        <w:t>an</w:t>
      </w:r>
      <w:r w:rsidRPr="005C47C6">
        <w:rPr>
          <w:rFonts w:ascii="Arial" w:hAnsi="Arial" w:cs="Arial"/>
          <w:spacing w:val="-5"/>
          <w:sz w:val="24"/>
          <w:szCs w:val="24"/>
        </w:rPr>
        <w:t xml:space="preserve"> </w:t>
      </w:r>
      <w:r w:rsidRPr="005C47C6">
        <w:rPr>
          <w:rFonts w:ascii="Arial" w:hAnsi="Arial" w:cs="Arial"/>
          <w:sz w:val="24"/>
          <w:szCs w:val="24"/>
        </w:rPr>
        <w:t>export</w:t>
      </w:r>
      <w:r w:rsidRPr="005C47C6">
        <w:rPr>
          <w:rFonts w:ascii="Arial" w:hAnsi="Arial" w:cs="Arial"/>
          <w:spacing w:val="-4"/>
          <w:sz w:val="24"/>
          <w:szCs w:val="24"/>
        </w:rPr>
        <w:t xml:space="preserve"> </w:t>
      </w:r>
      <w:r w:rsidRPr="005C47C6">
        <w:rPr>
          <w:rFonts w:ascii="Arial" w:hAnsi="Arial" w:cs="Arial"/>
          <w:sz w:val="24"/>
          <w:szCs w:val="24"/>
        </w:rPr>
        <w:t>credit</w:t>
      </w:r>
      <w:r w:rsidRPr="005C47C6">
        <w:rPr>
          <w:rFonts w:ascii="Arial" w:hAnsi="Arial" w:cs="Arial"/>
          <w:spacing w:val="-6"/>
          <w:sz w:val="24"/>
          <w:szCs w:val="24"/>
        </w:rPr>
        <w:t xml:space="preserve"> </w:t>
      </w:r>
      <w:r w:rsidRPr="005C47C6">
        <w:rPr>
          <w:rFonts w:ascii="Arial" w:hAnsi="Arial" w:cs="Arial"/>
          <w:sz w:val="24"/>
          <w:szCs w:val="24"/>
        </w:rPr>
        <w:t>guarantee</w:t>
      </w:r>
      <w:r w:rsidRPr="005C47C6">
        <w:rPr>
          <w:rFonts w:ascii="Arial" w:hAnsi="Arial" w:cs="Arial"/>
          <w:spacing w:val="-8"/>
          <w:sz w:val="24"/>
          <w:szCs w:val="24"/>
        </w:rPr>
        <w:t xml:space="preserve"> </w:t>
      </w:r>
      <w:r w:rsidRPr="005C47C6">
        <w:rPr>
          <w:rFonts w:ascii="Arial" w:hAnsi="Arial" w:cs="Arial"/>
          <w:sz w:val="24"/>
          <w:szCs w:val="24"/>
        </w:rPr>
        <w:t>or</w:t>
      </w:r>
      <w:r w:rsidRPr="005C47C6">
        <w:rPr>
          <w:rFonts w:ascii="Arial" w:hAnsi="Arial" w:cs="Arial"/>
          <w:spacing w:val="-5"/>
          <w:sz w:val="24"/>
          <w:szCs w:val="24"/>
        </w:rPr>
        <w:t xml:space="preserve"> </w:t>
      </w:r>
      <w:r w:rsidRPr="005C47C6">
        <w:rPr>
          <w:rFonts w:ascii="Arial" w:hAnsi="Arial" w:cs="Arial"/>
          <w:sz w:val="24"/>
          <w:szCs w:val="24"/>
        </w:rPr>
        <w:t>insurance program to be prohibited under the SCM Agreement, the criteria under paragraph (j) of Annex I of the SCM Agreement must be fulfilled. Paragraph (j) provides as</w:t>
      </w:r>
      <w:r w:rsidRPr="005C47C6">
        <w:rPr>
          <w:rFonts w:ascii="Arial" w:hAnsi="Arial" w:cs="Arial"/>
          <w:spacing w:val="-21"/>
          <w:sz w:val="24"/>
          <w:szCs w:val="24"/>
        </w:rPr>
        <w:t xml:space="preserve"> </w:t>
      </w:r>
      <w:r w:rsidRPr="005C47C6">
        <w:rPr>
          <w:rFonts w:ascii="Arial" w:hAnsi="Arial" w:cs="Arial"/>
          <w:sz w:val="24"/>
          <w:szCs w:val="24"/>
        </w:rPr>
        <w:t>follows:</w:t>
      </w:r>
    </w:p>
    <w:p w14:paraId="46F1F634" w14:textId="77777777" w:rsidR="005C47C6" w:rsidRPr="005C47C6" w:rsidRDefault="005C47C6" w:rsidP="00810D2D">
      <w:pPr>
        <w:spacing w:before="1"/>
        <w:ind w:left="1440" w:right="-46"/>
        <w:rPr>
          <w:rFonts w:ascii="Arial" w:hAnsi="Arial" w:cs="Arial"/>
          <w:sz w:val="24"/>
          <w:szCs w:val="24"/>
        </w:rPr>
      </w:pPr>
      <w:r w:rsidRPr="005C47C6">
        <w:rPr>
          <w:rFonts w:ascii="Arial" w:hAnsi="Arial" w:cs="Arial"/>
          <w:sz w:val="24"/>
          <w:szCs w:val="24"/>
        </w:rPr>
        <w:t>“</w:t>
      </w:r>
      <w:r w:rsidRPr="005C47C6">
        <w:rPr>
          <w:rFonts w:ascii="Arial" w:hAnsi="Arial" w:cs="Arial"/>
          <w:i/>
          <w:sz w:val="24"/>
          <w:szCs w:val="24"/>
        </w:rPr>
        <w:t>The provision by governments (or special institutions controlled by governments) of export credit guarantee or insurance programmes, of insurance or guarantee programmes against increases in the cost of exported products or of exchange risk programmes, at premium rates which are inadequate to cover the long-term operating costs and losses of the programmes.</w:t>
      </w:r>
      <w:r w:rsidRPr="005C47C6">
        <w:rPr>
          <w:rFonts w:ascii="Arial" w:hAnsi="Arial" w:cs="Arial"/>
          <w:sz w:val="24"/>
          <w:szCs w:val="24"/>
        </w:rPr>
        <w:t>”</w:t>
      </w:r>
    </w:p>
    <w:p w14:paraId="4B7F008E" w14:textId="77777777" w:rsidR="005C47C6" w:rsidRPr="005C47C6" w:rsidRDefault="005C47C6" w:rsidP="005C47C6">
      <w:pPr>
        <w:pStyle w:val="a7"/>
        <w:spacing w:before="10"/>
        <w:ind w:left="567" w:right="-46"/>
        <w:rPr>
          <w:rFonts w:ascii="Arial" w:hAnsi="Arial" w:cs="Arial"/>
          <w:sz w:val="24"/>
          <w:szCs w:val="24"/>
        </w:rPr>
      </w:pPr>
    </w:p>
    <w:p w14:paraId="75C0AC4E" w14:textId="2E347252" w:rsidR="000F712A" w:rsidRPr="00810D2D" w:rsidRDefault="005C47C6" w:rsidP="001F79D9">
      <w:pPr>
        <w:pStyle w:val="a9"/>
        <w:widowControl w:val="0"/>
        <w:numPr>
          <w:ilvl w:val="0"/>
          <w:numId w:val="39"/>
        </w:numPr>
        <w:autoSpaceDE w:val="0"/>
        <w:autoSpaceDN w:val="0"/>
        <w:spacing w:before="241"/>
        <w:ind w:right="-46" w:hanging="644"/>
        <w:rPr>
          <w:rFonts w:ascii="Arial" w:hAnsi="Arial" w:cs="Arial"/>
          <w:sz w:val="24"/>
          <w:szCs w:val="24"/>
        </w:rPr>
      </w:pPr>
      <w:r w:rsidRPr="00810D2D">
        <w:rPr>
          <w:rFonts w:ascii="Arial" w:hAnsi="Arial" w:cs="Arial"/>
          <w:sz w:val="24"/>
          <w:szCs w:val="24"/>
        </w:rPr>
        <w:t>In light of the above provision, in order to claim that a supposed subsidy exists, the Applicant was required at a minimum to demonstrate that the premium rates charged by Sinosure are inadequate to cover the long-term operating costs and losses of the</w:t>
      </w:r>
      <w:r w:rsidRPr="00810D2D">
        <w:rPr>
          <w:rFonts w:ascii="Arial" w:hAnsi="Arial" w:cs="Arial"/>
          <w:spacing w:val="-6"/>
          <w:sz w:val="24"/>
          <w:szCs w:val="24"/>
        </w:rPr>
        <w:t xml:space="preserve"> </w:t>
      </w:r>
      <w:r w:rsidRPr="00810D2D">
        <w:rPr>
          <w:rFonts w:ascii="Arial" w:hAnsi="Arial" w:cs="Arial"/>
          <w:sz w:val="24"/>
          <w:szCs w:val="24"/>
        </w:rPr>
        <w:t>programs.</w:t>
      </w:r>
    </w:p>
    <w:p w14:paraId="32B92823" w14:textId="77777777" w:rsidR="00810D2D" w:rsidRDefault="00810D2D" w:rsidP="00810D2D">
      <w:pPr>
        <w:pStyle w:val="a9"/>
        <w:widowControl w:val="0"/>
        <w:autoSpaceDE w:val="0"/>
        <w:autoSpaceDN w:val="0"/>
        <w:spacing w:before="100"/>
        <w:ind w:left="567" w:right="-46"/>
        <w:contextualSpacing w:val="0"/>
        <w:jc w:val="right"/>
        <w:rPr>
          <w:rFonts w:ascii="Arial" w:hAnsi="Arial" w:cs="Arial"/>
          <w:sz w:val="24"/>
          <w:szCs w:val="24"/>
        </w:rPr>
      </w:pPr>
    </w:p>
    <w:p w14:paraId="2F2FAE29" w14:textId="2287118E" w:rsidR="005C47C6" w:rsidRPr="005C47C6" w:rsidRDefault="005C47C6" w:rsidP="001F79D9">
      <w:pPr>
        <w:pStyle w:val="a9"/>
        <w:widowControl w:val="0"/>
        <w:numPr>
          <w:ilvl w:val="0"/>
          <w:numId w:val="39"/>
        </w:numPr>
        <w:autoSpaceDE w:val="0"/>
        <w:autoSpaceDN w:val="0"/>
        <w:spacing w:before="241"/>
        <w:ind w:right="-46" w:hanging="644"/>
        <w:rPr>
          <w:rFonts w:ascii="Arial" w:hAnsi="Arial" w:cs="Arial"/>
          <w:sz w:val="24"/>
          <w:szCs w:val="24"/>
        </w:rPr>
      </w:pPr>
      <w:r w:rsidRPr="005C47C6">
        <w:rPr>
          <w:rFonts w:ascii="Arial" w:hAnsi="Arial" w:cs="Arial"/>
          <w:sz w:val="24"/>
          <w:szCs w:val="24"/>
        </w:rPr>
        <w:t>However, the Applicant did not provide any evidence to demonstrate that the export credit insurance or guarantee provided by the Sinosure is a prohibited subsidy under the SCM Agreement.</w:t>
      </w:r>
    </w:p>
    <w:p w14:paraId="53392107" w14:textId="77777777" w:rsidR="005C47C6" w:rsidRPr="005C47C6" w:rsidRDefault="005C47C6" w:rsidP="005C47C6">
      <w:pPr>
        <w:pStyle w:val="a7"/>
        <w:ind w:left="567" w:right="-46"/>
        <w:rPr>
          <w:rFonts w:ascii="Arial" w:hAnsi="Arial" w:cs="Arial"/>
          <w:sz w:val="24"/>
          <w:szCs w:val="24"/>
        </w:rPr>
      </w:pPr>
    </w:p>
    <w:p w14:paraId="6F596485" w14:textId="05137CE1" w:rsidR="005C47C6" w:rsidRDefault="005C47C6" w:rsidP="001F79D9">
      <w:pPr>
        <w:pStyle w:val="a9"/>
        <w:widowControl w:val="0"/>
        <w:numPr>
          <w:ilvl w:val="0"/>
          <w:numId w:val="39"/>
        </w:numPr>
        <w:autoSpaceDE w:val="0"/>
        <w:autoSpaceDN w:val="0"/>
        <w:spacing w:before="241"/>
        <w:ind w:right="-46" w:hanging="644"/>
        <w:rPr>
          <w:rFonts w:ascii="Arial" w:hAnsi="Arial" w:cs="Arial"/>
          <w:sz w:val="24"/>
          <w:szCs w:val="24"/>
        </w:rPr>
      </w:pPr>
      <w:r w:rsidRPr="005C47C6">
        <w:rPr>
          <w:rFonts w:ascii="Arial" w:hAnsi="Arial" w:cs="Arial"/>
          <w:sz w:val="24"/>
          <w:szCs w:val="24"/>
        </w:rPr>
        <w:t>That</w:t>
      </w:r>
      <w:r w:rsidRPr="00810D2D">
        <w:rPr>
          <w:rFonts w:ascii="Arial" w:hAnsi="Arial" w:cs="Arial"/>
          <w:sz w:val="24"/>
          <w:szCs w:val="24"/>
        </w:rPr>
        <w:t xml:space="preserve"> </w:t>
      </w:r>
      <w:r w:rsidRPr="005C47C6">
        <w:rPr>
          <w:rFonts w:ascii="Arial" w:hAnsi="Arial" w:cs="Arial"/>
          <w:sz w:val="24"/>
          <w:szCs w:val="24"/>
        </w:rPr>
        <w:t>said,</w:t>
      </w:r>
      <w:r w:rsidRPr="00810D2D">
        <w:rPr>
          <w:rFonts w:ascii="Arial" w:hAnsi="Arial" w:cs="Arial"/>
          <w:sz w:val="24"/>
          <w:szCs w:val="24"/>
        </w:rPr>
        <w:t xml:space="preserve"> </w:t>
      </w:r>
      <w:r w:rsidRPr="005C47C6">
        <w:rPr>
          <w:rFonts w:ascii="Arial" w:hAnsi="Arial" w:cs="Arial"/>
          <w:sz w:val="24"/>
          <w:szCs w:val="24"/>
        </w:rPr>
        <w:t>the</w:t>
      </w:r>
      <w:r w:rsidRPr="00810D2D">
        <w:rPr>
          <w:rFonts w:ascii="Arial" w:hAnsi="Arial" w:cs="Arial"/>
          <w:sz w:val="24"/>
          <w:szCs w:val="24"/>
        </w:rPr>
        <w:t xml:space="preserve"> </w:t>
      </w:r>
      <w:r w:rsidRPr="005C47C6">
        <w:rPr>
          <w:rFonts w:ascii="Arial" w:hAnsi="Arial" w:cs="Arial"/>
          <w:sz w:val="24"/>
          <w:szCs w:val="24"/>
        </w:rPr>
        <w:t>GOC</w:t>
      </w:r>
      <w:r w:rsidRPr="00810D2D">
        <w:rPr>
          <w:rFonts w:ascii="Arial" w:hAnsi="Arial" w:cs="Arial"/>
          <w:sz w:val="24"/>
          <w:szCs w:val="24"/>
        </w:rPr>
        <w:t xml:space="preserve"> </w:t>
      </w:r>
      <w:r w:rsidRPr="005C47C6">
        <w:rPr>
          <w:rFonts w:ascii="Arial" w:hAnsi="Arial" w:cs="Arial"/>
          <w:sz w:val="24"/>
          <w:szCs w:val="24"/>
        </w:rPr>
        <w:t>notes</w:t>
      </w:r>
      <w:r w:rsidRPr="00810D2D">
        <w:rPr>
          <w:rFonts w:ascii="Arial" w:hAnsi="Arial" w:cs="Arial"/>
          <w:sz w:val="24"/>
          <w:szCs w:val="24"/>
        </w:rPr>
        <w:t xml:space="preserve"> </w:t>
      </w:r>
      <w:r w:rsidRPr="005C47C6">
        <w:rPr>
          <w:rFonts w:ascii="Arial" w:hAnsi="Arial" w:cs="Arial"/>
          <w:sz w:val="24"/>
          <w:szCs w:val="24"/>
        </w:rPr>
        <w:t>that,</w:t>
      </w:r>
      <w:r w:rsidRPr="00810D2D">
        <w:rPr>
          <w:rFonts w:ascii="Arial" w:hAnsi="Arial" w:cs="Arial"/>
          <w:sz w:val="24"/>
          <w:szCs w:val="24"/>
        </w:rPr>
        <w:t xml:space="preserve"> </w:t>
      </w:r>
      <w:r w:rsidRPr="005C47C6">
        <w:rPr>
          <w:rFonts w:ascii="Arial" w:hAnsi="Arial" w:cs="Arial"/>
          <w:sz w:val="24"/>
          <w:szCs w:val="24"/>
        </w:rPr>
        <w:t>according</w:t>
      </w:r>
      <w:r w:rsidRPr="00810D2D">
        <w:rPr>
          <w:rFonts w:ascii="Arial" w:hAnsi="Arial" w:cs="Arial"/>
          <w:sz w:val="24"/>
          <w:szCs w:val="24"/>
        </w:rPr>
        <w:t xml:space="preserve"> </w:t>
      </w:r>
      <w:r w:rsidRPr="005C47C6">
        <w:rPr>
          <w:rFonts w:ascii="Arial" w:hAnsi="Arial" w:cs="Arial"/>
          <w:sz w:val="24"/>
          <w:szCs w:val="24"/>
        </w:rPr>
        <w:t>to</w:t>
      </w:r>
      <w:r w:rsidRPr="00810D2D">
        <w:rPr>
          <w:rFonts w:ascii="Arial" w:hAnsi="Arial" w:cs="Arial"/>
          <w:sz w:val="24"/>
          <w:szCs w:val="24"/>
        </w:rPr>
        <w:t xml:space="preserve"> </w:t>
      </w:r>
      <w:r w:rsidRPr="005C47C6">
        <w:rPr>
          <w:rFonts w:ascii="Arial" w:hAnsi="Arial" w:cs="Arial"/>
          <w:sz w:val="24"/>
          <w:szCs w:val="24"/>
        </w:rPr>
        <w:t>the</w:t>
      </w:r>
      <w:r w:rsidRPr="00810D2D">
        <w:rPr>
          <w:rFonts w:ascii="Arial" w:hAnsi="Arial" w:cs="Arial"/>
          <w:sz w:val="24"/>
          <w:szCs w:val="24"/>
        </w:rPr>
        <w:t xml:space="preserve"> </w:t>
      </w:r>
      <w:r w:rsidRPr="005C47C6">
        <w:rPr>
          <w:rFonts w:ascii="Arial" w:hAnsi="Arial" w:cs="Arial"/>
          <w:sz w:val="24"/>
          <w:szCs w:val="24"/>
        </w:rPr>
        <w:t>data</w:t>
      </w:r>
      <w:r w:rsidRPr="00810D2D">
        <w:rPr>
          <w:rFonts w:ascii="Arial" w:hAnsi="Arial" w:cs="Arial"/>
          <w:sz w:val="24"/>
          <w:szCs w:val="24"/>
        </w:rPr>
        <w:t xml:space="preserve"> </w:t>
      </w:r>
      <w:r w:rsidRPr="005C47C6">
        <w:rPr>
          <w:rFonts w:ascii="Arial" w:hAnsi="Arial" w:cs="Arial"/>
          <w:sz w:val="24"/>
          <w:szCs w:val="24"/>
        </w:rPr>
        <w:t>of</w:t>
      </w:r>
      <w:r w:rsidRPr="00810D2D">
        <w:rPr>
          <w:rFonts w:ascii="Arial" w:hAnsi="Arial" w:cs="Arial"/>
          <w:sz w:val="24"/>
          <w:szCs w:val="24"/>
        </w:rPr>
        <w:t xml:space="preserve"> </w:t>
      </w:r>
      <w:r w:rsidRPr="005C47C6">
        <w:rPr>
          <w:rFonts w:ascii="Arial" w:hAnsi="Arial" w:cs="Arial"/>
          <w:sz w:val="24"/>
          <w:szCs w:val="24"/>
        </w:rPr>
        <w:t>Sinosure,</w:t>
      </w:r>
      <w:r w:rsidRPr="00810D2D">
        <w:rPr>
          <w:rFonts w:ascii="Arial" w:hAnsi="Arial" w:cs="Arial"/>
          <w:sz w:val="24"/>
          <w:szCs w:val="24"/>
        </w:rPr>
        <w:t xml:space="preserve"> </w:t>
      </w:r>
      <w:r w:rsidRPr="005C47C6">
        <w:rPr>
          <w:rFonts w:ascii="Arial" w:hAnsi="Arial" w:cs="Arial"/>
          <w:sz w:val="24"/>
          <w:szCs w:val="24"/>
        </w:rPr>
        <w:t>its</w:t>
      </w:r>
      <w:r w:rsidRPr="00810D2D">
        <w:rPr>
          <w:rFonts w:ascii="Arial" w:hAnsi="Arial" w:cs="Arial"/>
          <w:sz w:val="24"/>
          <w:szCs w:val="24"/>
        </w:rPr>
        <w:t xml:space="preserve"> </w:t>
      </w:r>
      <w:r w:rsidRPr="005C47C6">
        <w:rPr>
          <w:rFonts w:ascii="Arial" w:hAnsi="Arial" w:cs="Arial"/>
          <w:sz w:val="24"/>
          <w:szCs w:val="24"/>
        </w:rPr>
        <w:t>overall</w:t>
      </w:r>
      <w:r w:rsidRPr="00810D2D">
        <w:rPr>
          <w:rFonts w:ascii="Arial" w:hAnsi="Arial" w:cs="Arial"/>
          <w:sz w:val="24"/>
          <w:szCs w:val="24"/>
        </w:rPr>
        <w:t xml:space="preserve"> </w:t>
      </w:r>
      <w:r w:rsidRPr="005C47C6">
        <w:rPr>
          <w:rFonts w:ascii="Arial" w:hAnsi="Arial" w:cs="Arial"/>
          <w:sz w:val="24"/>
          <w:szCs w:val="24"/>
        </w:rPr>
        <w:t>long-term</w:t>
      </w:r>
      <w:r w:rsidRPr="00810D2D">
        <w:rPr>
          <w:rFonts w:ascii="Arial" w:hAnsi="Arial" w:cs="Arial"/>
          <w:sz w:val="24"/>
          <w:szCs w:val="24"/>
        </w:rPr>
        <w:t xml:space="preserve"> </w:t>
      </w:r>
      <w:r w:rsidRPr="005C47C6">
        <w:rPr>
          <w:rFonts w:ascii="Arial" w:hAnsi="Arial" w:cs="Arial"/>
          <w:sz w:val="24"/>
          <w:szCs w:val="24"/>
        </w:rPr>
        <w:t>operating costs can be covered by the premiums it has been charging over the same period for the types of</w:t>
      </w:r>
      <w:r w:rsidRPr="00810D2D">
        <w:rPr>
          <w:rFonts w:ascii="Arial" w:hAnsi="Arial" w:cs="Arial"/>
          <w:sz w:val="24"/>
          <w:szCs w:val="24"/>
        </w:rPr>
        <w:t xml:space="preserve"> </w:t>
      </w:r>
      <w:r w:rsidRPr="005C47C6">
        <w:rPr>
          <w:rFonts w:ascii="Arial" w:hAnsi="Arial" w:cs="Arial"/>
          <w:sz w:val="24"/>
          <w:szCs w:val="24"/>
        </w:rPr>
        <w:t>insurance</w:t>
      </w:r>
      <w:r w:rsidRPr="00810D2D">
        <w:rPr>
          <w:rFonts w:ascii="Arial" w:hAnsi="Arial" w:cs="Arial"/>
          <w:sz w:val="24"/>
          <w:szCs w:val="24"/>
        </w:rPr>
        <w:t xml:space="preserve"> </w:t>
      </w:r>
      <w:r w:rsidRPr="005C47C6">
        <w:rPr>
          <w:rFonts w:ascii="Arial" w:hAnsi="Arial" w:cs="Arial"/>
          <w:sz w:val="24"/>
          <w:szCs w:val="24"/>
        </w:rPr>
        <w:t>purchased</w:t>
      </w:r>
      <w:r w:rsidRPr="00810D2D">
        <w:rPr>
          <w:rFonts w:ascii="Arial" w:hAnsi="Arial" w:cs="Arial"/>
          <w:sz w:val="24"/>
          <w:szCs w:val="24"/>
        </w:rPr>
        <w:t xml:space="preserve"> </w:t>
      </w:r>
      <w:r w:rsidRPr="005C47C6">
        <w:rPr>
          <w:rFonts w:ascii="Arial" w:hAnsi="Arial" w:cs="Arial"/>
          <w:sz w:val="24"/>
          <w:szCs w:val="24"/>
        </w:rPr>
        <w:t>by</w:t>
      </w:r>
      <w:r w:rsidRPr="00810D2D">
        <w:rPr>
          <w:rFonts w:ascii="Arial" w:hAnsi="Arial" w:cs="Arial"/>
          <w:sz w:val="24"/>
          <w:szCs w:val="24"/>
        </w:rPr>
        <w:t xml:space="preserve"> </w:t>
      </w:r>
      <w:r w:rsidRPr="005C47C6">
        <w:rPr>
          <w:rFonts w:ascii="Arial" w:hAnsi="Arial" w:cs="Arial"/>
          <w:sz w:val="24"/>
          <w:szCs w:val="24"/>
        </w:rPr>
        <w:t>the</w:t>
      </w:r>
      <w:r w:rsidRPr="00810D2D">
        <w:rPr>
          <w:rFonts w:ascii="Arial" w:hAnsi="Arial" w:cs="Arial"/>
          <w:sz w:val="24"/>
          <w:szCs w:val="24"/>
        </w:rPr>
        <w:t xml:space="preserve"> </w:t>
      </w:r>
      <w:r w:rsidR="00810D2D">
        <w:rPr>
          <w:rFonts w:ascii="Arial" w:hAnsi="Arial" w:cs="Arial" w:hint="eastAsia"/>
          <w:sz w:val="24"/>
          <w:szCs w:val="24"/>
        </w:rPr>
        <w:t>cooperating</w:t>
      </w:r>
      <w:r w:rsidRPr="00810D2D">
        <w:rPr>
          <w:rFonts w:ascii="Arial" w:hAnsi="Arial" w:cs="Arial"/>
          <w:sz w:val="24"/>
          <w:szCs w:val="24"/>
        </w:rPr>
        <w:t xml:space="preserve"> </w:t>
      </w:r>
      <w:r w:rsidRPr="005C47C6">
        <w:rPr>
          <w:rFonts w:ascii="Arial" w:hAnsi="Arial" w:cs="Arial"/>
          <w:sz w:val="24"/>
          <w:szCs w:val="24"/>
        </w:rPr>
        <w:t>exporting</w:t>
      </w:r>
      <w:r w:rsidRPr="00810D2D">
        <w:rPr>
          <w:rFonts w:ascii="Arial" w:hAnsi="Arial" w:cs="Arial"/>
          <w:sz w:val="24"/>
          <w:szCs w:val="24"/>
        </w:rPr>
        <w:t xml:space="preserve"> </w:t>
      </w:r>
      <w:r w:rsidRPr="005C47C6">
        <w:rPr>
          <w:rFonts w:ascii="Arial" w:hAnsi="Arial" w:cs="Arial"/>
          <w:sz w:val="24"/>
          <w:szCs w:val="24"/>
        </w:rPr>
        <w:t>producer</w:t>
      </w:r>
      <w:r w:rsidRPr="00810D2D">
        <w:rPr>
          <w:rFonts w:ascii="Arial" w:hAnsi="Arial" w:cs="Arial"/>
          <w:sz w:val="24"/>
          <w:szCs w:val="24"/>
        </w:rPr>
        <w:t xml:space="preserve"> </w:t>
      </w:r>
      <w:r w:rsidRPr="005C47C6">
        <w:rPr>
          <w:rFonts w:ascii="Arial" w:hAnsi="Arial" w:cs="Arial"/>
          <w:sz w:val="24"/>
          <w:szCs w:val="24"/>
        </w:rPr>
        <w:t>(short-term</w:t>
      </w:r>
      <w:r w:rsidRPr="00810D2D">
        <w:rPr>
          <w:rFonts w:ascii="Arial" w:hAnsi="Arial" w:cs="Arial"/>
          <w:sz w:val="24"/>
          <w:szCs w:val="24"/>
        </w:rPr>
        <w:t xml:space="preserve"> </w:t>
      </w:r>
      <w:r w:rsidRPr="005C47C6">
        <w:rPr>
          <w:rFonts w:ascii="Arial" w:hAnsi="Arial" w:cs="Arial"/>
          <w:sz w:val="24"/>
          <w:szCs w:val="24"/>
        </w:rPr>
        <w:t>export</w:t>
      </w:r>
      <w:r w:rsidRPr="00810D2D">
        <w:rPr>
          <w:rFonts w:ascii="Arial" w:hAnsi="Arial" w:cs="Arial"/>
          <w:sz w:val="24"/>
          <w:szCs w:val="24"/>
        </w:rPr>
        <w:t xml:space="preserve"> </w:t>
      </w:r>
      <w:r w:rsidRPr="005C47C6">
        <w:rPr>
          <w:rFonts w:ascii="Arial" w:hAnsi="Arial" w:cs="Arial"/>
          <w:sz w:val="24"/>
          <w:szCs w:val="24"/>
        </w:rPr>
        <w:t>credit</w:t>
      </w:r>
      <w:r w:rsidRPr="00810D2D">
        <w:rPr>
          <w:rFonts w:ascii="Arial" w:hAnsi="Arial" w:cs="Arial"/>
          <w:sz w:val="24"/>
          <w:szCs w:val="24"/>
        </w:rPr>
        <w:t xml:space="preserve"> </w:t>
      </w:r>
      <w:r w:rsidRPr="005C47C6">
        <w:rPr>
          <w:rFonts w:ascii="Arial" w:hAnsi="Arial" w:cs="Arial"/>
          <w:sz w:val="24"/>
          <w:szCs w:val="24"/>
        </w:rPr>
        <w:t>insurance). Thus, contrary to the Applicant’s allegations, there is no subsidy in the form of preferential export</w:t>
      </w:r>
      <w:r w:rsidRPr="00810D2D">
        <w:rPr>
          <w:rFonts w:ascii="Arial" w:hAnsi="Arial" w:cs="Arial"/>
          <w:sz w:val="24"/>
          <w:szCs w:val="24"/>
        </w:rPr>
        <w:t xml:space="preserve"> </w:t>
      </w:r>
      <w:r w:rsidRPr="005C47C6">
        <w:rPr>
          <w:rFonts w:ascii="Arial" w:hAnsi="Arial" w:cs="Arial"/>
          <w:sz w:val="24"/>
          <w:szCs w:val="24"/>
        </w:rPr>
        <w:t>credit</w:t>
      </w:r>
      <w:r w:rsidRPr="00810D2D">
        <w:rPr>
          <w:rFonts w:ascii="Arial" w:hAnsi="Arial" w:cs="Arial"/>
          <w:sz w:val="24"/>
          <w:szCs w:val="24"/>
        </w:rPr>
        <w:t xml:space="preserve"> </w:t>
      </w:r>
      <w:r w:rsidRPr="005C47C6">
        <w:rPr>
          <w:rFonts w:ascii="Arial" w:hAnsi="Arial" w:cs="Arial"/>
          <w:sz w:val="24"/>
          <w:szCs w:val="24"/>
        </w:rPr>
        <w:t>insurance</w:t>
      </w:r>
      <w:r w:rsidRPr="00810D2D">
        <w:rPr>
          <w:rFonts w:ascii="Arial" w:hAnsi="Arial" w:cs="Arial"/>
          <w:sz w:val="24"/>
          <w:szCs w:val="24"/>
        </w:rPr>
        <w:t xml:space="preserve"> </w:t>
      </w:r>
      <w:r w:rsidRPr="005C47C6">
        <w:rPr>
          <w:rFonts w:ascii="Arial" w:hAnsi="Arial" w:cs="Arial"/>
          <w:sz w:val="24"/>
          <w:szCs w:val="24"/>
        </w:rPr>
        <w:t>and</w:t>
      </w:r>
      <w:r w:rsidRPr="00810D2D">
        <w:rPr>
          <w:rFonts w:ascii="Arial" w:hAnsi="Arial" w:cs="Arial"/>
          <w:sz w:val="24"/>
          <w:szCs w:val="24"/>
        </w:rPr>
        <w:t xml:space="preserve"> </w:t>
      </w:r>
      <w:r w:rsidRPr="005C47C6">
        <w:rPr>
          <w:rFonts w:ascii="Arial" w:hAnsi="Arial" w:cs="Arial"/>
          <w:sz w:val="24"/>
          <w:szCs w:val="24"/>
        </w:rPr>
        <w:t>guarantees</w:t>
      </w:r>
      <w:r w:rsidRPr="00810D2D">
        <w:rPr>
          <w:rFonts w:ascii="Arial" w:hAnsi="Arial" w:cs="Arial"/>
          <w:sz w:val="24"/>
          <w:szCs w:val="24"/>
        </w:rPr>
        <w:t xml:space="preserve"> </w:t>
      </w:r>
      <w:r w:rsidRPr="005C47C6">
        <w:rPr>
          <w:rFonts w:ascii="Arial" w:hAnsi="Arial" w:cs="Arial"/>
          <w:sz w:val="24"/>
          <w:szCs w:val="24"/>
        </w:rPr>
        <w:t>and</w:t>
      </w:r>
      <w:r w:rsidRPr="00810D2D">
        <w:rPr>
          <w:rFonts w:ascii="Arial" w:hAnsi="Arial" w:cs="Arial"/>
          <w:sz w:val="24"/>
          <w:szCs w:val="24"/>
        </w:rPr>
        <w:t xml:space="preserve"> </w:t>
      </w:r>
      <w:r w:rsidRPr="005C47C6">
        <w:rPr>
          <w:rFonts w:ascii="Arial" w:hAnsi="Arial" w:cs="Arial"/>
          <w:sz w:val="24"/>
          <w:szCs w:val="24"/>
        </w:rPr>
        <w:t>the</w:t>
      </w:r>
      <w:r w:rsidRPr="00810D2D">
        <w:rPr>
          <w:rFonts w:ascii="Arial" w:hAnsi="Arial" w:cs="Arial"/>
          <w:sz w:val="24"/>
          <w:szCs w:val="24"/>
        </w:rPr>
        <w:t xml:space="preserve"> </w:t>
      </w:r>
      <w:r w:rsidRPr="005C47C6">
        <w:rPr>
          <w:rFonts w:ascii="Arial" w:hAnsi="Arial" w:cs="Arial"/>
          <w:sz w:val="24"/>
          <w:szCs w:val="24"/>
        </w:rPr>
        <w:t>GOC</w:t>
      </w:r>
      <w:r w:rsidRPr="00810D2D">
        <w:rPr>
          <w:rFonts w:ascii="Arial" w:hAnsi="Arial" w:cs="Arial"/>
          <w:sz w:val="24"/>
          <w:szCs w:val="24"/>
        </w:rPr>
        <w:t xml:space="preserve"> </w:t>
      </w:r>
      <w:r w:rsidRPr="005C47C6">
        <w:rPr>
          <w:rFonts w:ascii="Arial" w:hAnsi="Arial" w:cs="Arial"/>
          <w:sz w:val="24"/>
          <w:szCs w:val="24"/>
        </w:rPr>
        <w:t>herewith</w:t>
      </w:r>
      <w:r w:rsidRPr="00810D2D">
        <w:rPr>
          <w:rFonts w:ascii="Arial" w:hAnsi="Arial" w:cs="Arial"/>
          <w:sz w:val="24"/>
          <w:szCs w:val="24"/>
        </w:rPr>
        <w:t xml:space="preserve"> </w:t>
      </w:r>
      <w:r w:rsidRPr="005C47C6">
        <w:rPr>
          <w:rFonts w:ascii="Arial" w:hAnsi="Arial" w:cs="Arial"/>
          <w:sz w:val="24"/>
          <w:szCs w:val="24"/>
        </w:rPr>
        <w:t>respectfully</w:t>
      </w:r>
      <w:r w:rsidRPr="00810D2D">
        <w:rPr>
          <w:rFonts w:ascii="Arial" w:hAnsi="Arial" w:cs="Arial"/>
          <w:sz w:val="24"/>
          <w:szCs w:val="24"/>
        </w:rPr>
        <w:t xml:space="preserve"> </w:t>
      </w:r>
      <w:r w:rsidRPr="005C47C6">
        <w:rPr>
          <w:rFonts w:ascii="Arial" w:hAnsi="Arial" w:cs="Arial"/>
          <w:sz w:val="24"/>
          <w:szCs w:val="24"/>
        </w:rPr>
        <w:t>requests</w:t>
      </w:r>
      <w:r w:rsidRPr="00810D2D">
        <w:rPr>
          <w:rFonts w:ascii="Arial" w:hAnsi="Arial" w:cs="Arial"/>
          <w:sz w:val="24"/>
          <w:szCs w:val="24"/>
        </w:rPr>
        <w:t xml:space="preserve"> </w:t>
      </w:r>
      <w:r w:rsidRPr="005C47C6">
        <w:rPr>
          <w:rFonts w:ascii="Arial" w:hAnsi="Arial" w:cs="Arial"/>
          <w:sz w:val="24"/>
          <w:szCs w:val="24"/>
        </w:rPr>
        <w:t>the</w:t>
      </w:r>
      <w:r w:rsidRPr="00810D2D">
        <w:rPr>
          <w:rFonts w:ascii="Arial" w:hAnsi="Arial" w:cs="Arial"/>
          <w:sz w:val="24"/>
          <w:szCs w:val="24"/>
        </w:rPr>
        <w:t xml:space="preserve"> </w:t>
      </w:r>
      <w:r w:rsidRPr="005C47C6">
        <w:rPr>
          <w:rFonts w:ascii="Arial" w:hAnsi="Arial" w:cs="Arial"/>
          <w:sz w:val="24"/>
          <w:szCs w:val="24"/>
        </w:rPr>
        <w:t>TRA</w:t>
      </w:r>
      <w:r w:rsidRPr="00810D2D">
        <w:rPr>
          <w:rFonts w:ascii="Arial" w:hAnsi="Arial" w:cs="Arial"/>
          <w:sz w:val="24"/>
          <w:szCs w:val="24"/>
        </w:rPr>
        <w:t xml:space="preserve"> </w:t>
      </w:r>
      <w:r w:rsidRPr="005C47C6">
        <w:rPr>
          <w:rFonts w:ascii="Arial" w:hAnsi="Arial" w:cs="Arial"/>
          <w:sz w:val="24"/>
          <w:szCs w:val="24"/>
        </w:rPr>
        <w:t>not to investigate this alleged subsidy</w:t>
      </w:r>
      <w:r w:rsidRPr="00810D2D">
        <w:rPr>
          <w:rFonts w:ascii="Arial" w:hAnsi="Arial" w:cs="Arial"/>
          <w:sz w:val="24"/>
          <w:szCs w:val="24"/>
        </w:rPr>
        <w:t xml:space="preserve"> </w:t>
      </w:r>
      <w:r w:rsidRPr="005C47C6">
        <w:rPr>
          <w:rFonts w:ascii="Arial" w:hAnsi="Arial" w:cs="Arial"/>
          <w:sz w:val="24"/>
          <w:szCs w:val="24"/>
        </w:rPr>
        <w:t>program.</w:t>
      </w:r>
    </w:p>
    <w:p w14:paraId="6B5C0ECB" w14:textId="77777777" w:rsidR="0081799D" w:rsidRPr="00131C50" w:rsidRDefault="0081799D" w:rsidP="0081799D">
      <w:pPr>
        <w:pStyle w:val="a9"/>
        <w:ind w:hanging="720"/>
        <w:rPr>
          <w:rFonts w:ascii="Arial" w:eastAsiaTheme="minorHAnsi" w:hAnsi="Arial" w:cs="Arial"/>
          <w:color w:val="000000"/>
          <w:sz w:val="24"/>
          <w:szCs w:val="24"/>
          <w:lang w:bidi="hi-IN"/>
          <w14:ligatures w14:val="standardContextual"/>
        </w:rPr>
      </w:pPr>
    </w:p>
    <w:p w14:paraId="45B0712A" w14:textId="4717022A" w:rsidR="0081799D" w:rsidRPr="00131C50" w:rsidRDefault="0081799D" w:rsidP="001F79D9">
      <w:pPr>
        <w:pStyle w:val="a9"/>
        <w:numPr>
          <w:ilvl w:val="0"/>
          <w:numId w:val="39"/>
        </w:numPr>
        <w:autoSpaceDE w:val="0"/>
        <w:autoSpaceDN w:val="0"/>
        <w:adjustRightInd w:val="0"/>
        <w:ind w:left="720" w:hanging="720"/>
        <w:contextualSpacing w:val="0"/>
        <w:rPr>
          <w:rFonts w:ascii="Arial" w:eastAsiaTheme="minorHAnsi" w:hAnsi="Arial" w:cs="Arial"/>
          <w:color w:val="000000" w:themeColor="text1"/>
          <w:sz w:val="24"/>
          <w:szCs w:val="24"/>
          <w:lang w:eastAsia="en-US" w:bidi="hi-IN"/>
          <w14:ligatures w14:val="standardContextual"/>
        </w:rPr>
      </w:pPr>
      <w:r w:rsidRPr="00131C50">
        <w:rPr>
          <w:rFonts w:ascii="Arial" w:eastAsiaTheme="minorHAnsi" w:hAnsi="Arial" w:cs="Arial"/>
          <w:color w:val="000000"/>
          <w:sz w:val="24"/>
          <w:szCs w:val="24"/>
          <w:lang w:bidi="hi-IN"/>
          <w14:ligatures w14:val="standardContextual"/>
        </w:rPr>
        <w:t xml:space="preserve">To summarize, </w:t>
      </w:r>
      <w:r w:rsidRPr="00131C50">
        <w:rPr>
          <w:rFonts w:ascii="Arial" w:hAnsi="Arial" w:cs="Arial"/>
          <w:sz w:val="24"/>
          <w:szCs w:val="24"/>
        </w:rPr>
        <w:t xml:space="preserve">apart from the use of speculative words concerning what Sinosure would have done, the </w:t>
      </w:r>
      <w:r w:rsidR="00810D2D">
        <w:rPr>
          <w:rFonts w:ascii="Arial" w:hAnsi="Arial" w:cs="Arial" w:hint="eastAsia"/>
          <w:sz w:val="24"/>
          <w:szCs w:val="24"/>
        </w:rPr>
        <w:t>Applicant</w:t>
      </w:r>
      <w:r w:rsidRPr="00131C50">
        <w:rPr>
          <w:rFonts w:ascii="Arial" w:hAnsi="Arial" w:cs="Arial"/>
          <w:sz w:val="24"/>
          <w:szCs w:val="24"/>
        </w:rPr>
        <w:t xml:space="preserve"> has not presented any evidence of </w:t>
      </w:r>
      <w:r w:rsidRPr="00131C50">
        <w:rPr>
          <w:rFonts w:ascii="Arial" w:hAnsi="Arial" w:cs="Arial"/>
          <w:sz w:val="24"/>
          <w:szCs w:val="24"/>
        </w:rPr>
        <w:lastRenderedPageBreak/>
        <w:t xml:space="preserve">the existence of such insurance to </w:t>
      </w:r>
      <w:r w:rsidR="00810D2D">
        <w:rPr>
          <w:rFonts w:ascii="Arial" w:hAnsi="Arial" w:cs="Arial" w:hint="eastAsia"/>
          <w:sz w:val="24"/>
          <w:szCs w:val="24"/>
        </w:rPr>
        <w:t>E</w:t>
      </w:r>
      <w:r w:rsidR="00F70EF5">
        <w:rPr>
          <w:rFonts w:ascii="Arial" w:hAnsi="Arial" w:cs="Arial" w:hint="eastAsia"/>
          <w:sz w:val="24"/>
          <w:szCs w:val="24"/>
        </w:rPr>
        <w:t>x</w:t>
      </w:r>
      <w:r w:rsidR="00810D2D">
        <w:rPr>
          <w:rFonts w:ascii="Arial" w:hAnsi="Arial" w:cs="Arial" w:hint="eastAsia"/>
          <w:sz w:val="24"/>
          <w:szCs w:val="24"/>
        </w:rPr>
        <w:t>cavator</w:t>
      </w:r>
      <w:r w:rsidRPr="00131C50">
        <w:rPr>
          <w:rFonts w:ascii="Arial" w:hAnsi="Arial" w:cs="Arial"/>
          <w:sz w:val="24"/>
          <w:szCs w:val="24"/>
        </w:rPr>
        <w:t xml:space="preserve"> producers, the insurance fees paid to Sinosure and that would have been paid under a commercial insurance plan to claim the existence of this alleged subsidy. However, for legally investigating an alleged subsidy, there has to be some evidence of the use of that subsidy by the Chinese </w:t>
      </w:r>
      <w:r w:rsidR="00810D2D">
        <w:rPr>
          <w:rFonts w:ascii="Arial" w:hAnsi="Arial" w:cs="Arial" w:hint="eastAsia"/>
          <w:sz w:val="24"/>
          <w:szCs w:val="24"/>
        </w:rPr>
        <w:t>E</w:t>
      </w:r>
      <w:r w:rsidR="00F70EF5">
        <w:rPr>
          <w:rFonts w:ascii="Arial" w:hAnsi="Arial" w:cs="Arial" w:hint="eastAsia"/>
          <w:sz w:val="24"/>
          <w:szCs w:val="24"/>
        </w:rPr>
        <w:t>x</w:t>
      </w:r>
      <w:r w:rsidR="00810D2D">
        <w:rPr>
          <w:rFonts w:ascii="Arial" w:hAnsi="Arial" w:cs="Arial" w:hint="eastAsia"/>
          <w:sz w:val="24"/>
          <w:szCs w:val="24"/>
        </w:rPr>
        <w:t>cavator</w:t>
      </w:r>
      <w:r w:rsidRPr="00131C50">
        <w:rPr>
          <w:rFonts w:ascii="Arial" w:hAnsi="Arial" w:cs="Arial"/>
          <w:sz w:val="24"/>
          <w:szCs w:val="24"/>
        </w:rPr>
        <w:t xml:space="preserve"> industry and the existence of a benefit, including during the expected period of investigation.</w:t>
      </w:r>
      <w:r w:rsidRPr="00131C50">
        <w:rPr>
          <w:rStyle w:val="ab"/>
          <w:rFonts w:ascii="Arial" w:hAnsi="Arial" w:cs="Arial"/>
          <w:sz w:val="24"/>
          <w:szCs w:val="24"/>
        </w:rPr>
        <w:footnoteReference w:id="58"/>
      </w:r>
      <w:r w:rsidRPr="00131C50">
        <w:rPr>
          <w:rFonts w:ascii="Arial" w:hAnsi="Arial" w:cs="Arial"/>
          <w:sz w:val="24"/>
          <w:szCs w:val="24"/>
        </w:rPr>
        <w:t xml:space="preserve"> </w:t>
      </w:r>
    </w:p>
    <w:p w14:paraId="1CF235FF" w14:textId="77777777" w:rsidR="0081799D" w:rsidRPr="00131C50" w:rsidRDefault="0081799D" w:rsidP="0081799D">
      <w:pPr>
        <w:pStyle w:val="a9"/>
        <w:ind w:hanging="720"/>
        <w:rPr>
          <w:rFonts w:ascii="Arial" w:hAnsi="Arial" w:cs="Arial"/>
          <w:color w:val="000000" w:themeColor="text1"/>
          <w:sz w:val="24"/>
          <w:szCs w:val="24"/>
        </w:rPr>
      </w:pPr>
    </w:p>
    <w:p w14:paraId="130E3408" w14:textId="1E4F5869" w:rsidR="0081799D" w:rsidRPr="00131C50" w:rsidRDefault="0081799D" w:rsidP="001F79D9">
      <w:pPr>
        <w:pStyle w:val="a9"/>
        <w:numPr>
          <w:ilvl w:val="0"/>
          <w:numId w:val="39"/>
        </w:numPr>
        <w:autoSpaceDE w:val="0"/>
        <w:autoSpaceDN w:val="0"/>
        <w:adjustRightInd w:val="0"/>
        <w:ind w:left="720" w:hanging="720"/>
        <w:contextualSpacing w:val="0"/>
        <w:rPr>
          <w:rFonts w:ascii="Arial" w:eastAsiaTheme="minorHAnsi" w:hAnsi="Arial" w:cs="Arial"/>
          <w:color w:val="000000" w:themeColor="text1"/>
          <w:sz w:val="24"/>
          <w:szCs w:val="24"/>
          <w:lang w:eastAsia="en-US" w:bidi="hi-IN"/>
          <w14:ligatures w14:val="standardContextual"/>
        </w:rPr>
      </w:pPr>
      <w:r w:rsidRPr="00131C50">
        <w:rPr>
          <w:rFonts w:ascii="Arial" w:hAnsi="Arial" w:cs="Arial"/>
          <w:color w:val="000000" w:themeColor="text1"/>
          <w:sz w:val="24"/>
          <w:szCs w:val="24"/>
        </w:rPr>
        <w:t>Second, that Sinosure is a SOE and the Commission’s unsubstantiated allegations that Sinosure supposedly “</w:t>
      </w:r>
      <w:r w:rsidRPr="00131C50">
        <w:rPr>
          <w:rFonts w:ascii="Arial" w:hAnsi="Arial" w:cs="Arial"/>
          <w:i/>
          <w:iCs/>
          <w:color w:val="000000" w:themeColor="text1"/>
          <w:sz w:val="24"/>
          <w:szCs w:val="24"/>
        </w:rPr>
        <w:t>actively</w:t>
      </w:r>
      <w:r w:rsidRPr="00131C50">
        <w:rPr>
          <w:rFonts w:ascii="Arial" w:hAnsi="Arial" w:cs="Arial"/>
          <w:color w:val="000000" w:themeColor="text1"/>
          <w:sz w:val="24"/>
          <w:szCs w:val="24"/>
        </w:rPr>
        <w:t xml:space="preserve">” supports certain policies is inadequate to assert the existence of a benefit. </w:t>
      </w:r>
      <w:r w:rsidR="00810D2D">
        <w:rPr>
          <w:rFonts w:ascii="Arial" w:hAnsi="Arial" w:cs="Arial" w:hint="eastAsia"/>
          <w:color w:val="000000" w:themeColor="text1"/>
          <w:sz w:val="24"/>
          <w:szCs w:val="24"/>
        </w:rPr>
        <w:t>I</w:t>
      </w:r>
      <w:r w:rsidRPr="00131C50">
        <w:rPr>
          <w:rFonts w:ascii="Arial" w:hAnsi="Arial" w:cs="Arial"/>
          <w:color w:val="000000" w:themeColor="text1"/>
          <w:sz w:val="24"/>
          <w:szCs w:val="24"/>
        </w:rPr>
        <w:t xml:space="preserve">n </w:t>
      </w:r>
      <w:r w:rsidRPr="00131C50">
        <w:rPr>
          <w:rFonts w:ascii="Arial" w:hAnsi="Arial" w:cs="Arial"/>
          <w:i/>
          <w:iCs/>
          <w:color w:val="000000" w:themeColor="text1"/>
          <w:sz w:val="24"/>
          <w:szCs w:val="24"/>
        </w:rPr>
        <w:t>EC</w:t>
      </w:r>
      <w:r w:rsidRPr="00131C50">
        <w:rPr>
          <w:rFonts w:ascii="Arial" w:eastAsiaTheme="minorHAnsi" w:hAnsi="Arial" w:cs="Arial"/>
          <w:i/>
          <w:iCs/>
          <w:color w:val="000000" w:themeColor="text1"/>
          <w:sz w:val="24"/>
          <w:szCs w:val="24"/>
          <w:lang w:bidi="hi-IN"/>
          <w14:ligatures w14:val="standardContextual"/>
        </w:rPr>
        <w:t xml:space="preserve"> and Certain Member States – Large Civil Aircraft </w:t>
      </w:r>
      <w:r w:rsidRPr="00131C50">
        <w:rPr>
          <w:rFonts w:ascii="Arial" w:eastAsiaTheme="minorHAnsi" w:hAnsi="Arial" w:cs="Arial"/>
          <w:color w:val="000000" w:themeColor="text1"/>
          <w:sz w:val="24"/>
          <w:szCs w:val="24"/>
          <w:lang w:bidi="hi-IN"/>
          <w14:ligatures w14:val="standardContextual"/>
        </w:rPr>
        <w:t xml:space="preserve">that </w:t>
      </w:r>
      <w:r w:rsidRPr="00131C50">
        <w:rPr>
          <w:rFonts w:ascii="Arial" w:eastAsiaTheme="minorHAnsi" w:hAnsi="Arial" w:cs="Arial"/>
          <w:color w:val="000000" w:themeColor="text1"/>
          <w:sz w:val="24"/>
          <w:szCs w:val="24"/>
          <w:lang w:bidi="hi-IN"/>
        </w:rPr>
        <w:t xml:space="preserve">there is a difference between </w:t>
      </w:r>
      <w:r w:rsidRPr="00131C50">
        <w:rPr>
          <w:rFonts w:ascii="Arial" w:eastAsiaTheme="minorHAnsi" w:hAnsi="Arial" w:cs="Arial"/>
          <w:i/>
          <w:iCs/>
          <w:color w:val="000000" w:themeColor="text1"/>
          <w:sz w:val="24"/>
          <w:szCs w:val="24"/>
          <w:lang w:bidi="hi-IN"/>
        </w:rPr>
        <w:t xml:space="preserve">“the standard against which the presence or absence of a “benefit” is to be assessed, on the one hand, and evidence relevant to that assessment, on the other” </w:t>
      </w:r>
      <w:r w:rsidRPr="00131C50">
        <w:rPr>
          <w:rFonts w:ascii="Arial" w:eastAsiaTheme="minorHAnsi" w:hAnsi="Arial" w:cs="Arial"/>
          <w:color w:val="000000" w:themeColor="text1"/>
          <w:sz w:val="24"/>
          <w:szCs w:val="24"/>
          <w:lang w:bidi="hi-IN"/>
        </w:rPr>
        <w:t>and that</w:t>
      </w:r>
      <w:r w:rsidRPr="00131C50">
        <w:rPr>
          <w:rFonts w:ascii="Arial" w:eastAsiaTheme="minorHAnsi" w:hAnsi="Arial" w:cs="Arial"/>
          <w:i/>
          <w:iCs/>
          <w:color w:val="000000" w:themeColor="text1"/>
          <w:sz w:val="24"/>
          <w:szCs w:val="24"/>
          <w:lang w:bidi="hi-IN"/>
        </w:rPr>
        <w:t xml:space="preserve"> “the standard for assessing the presence or absence of a benefit is the market, and </w:t>
      </w:r>
      <w:r w:rsidRPr="00131C50">
        <w:rPr>
          <w:rFonts w:ascii="Arial" w:eastAsiaTheme="minorHAnsi" w:hAnsi="Arial" w:cs="Arial"/>
          <w:i/>
          <w:iCs/>
          <w:color w:val="000000" w:themeColor="text1"/>
          <w:sz w:val="24"/>
          <w:szCs w:val="24"/>
          <w:u w:val="single"/>
          <w:lang w:bidi="hi-IN"/>
        </w:rPr>
        <w:t>that nothing in Article 1.1(b) or Article 14 makes a government’s “considerations” the lodestone of that standard</w:t>
      </w:r>
      <w:r w:rsidRPr="00131C50">
        <w:rPr>
          <w:rFonts w:ascii="Arial" w:eastAsiaTheme="minorHAnsi" w:hAnsi="Arial" w:cs="Arial"/>
          <w:i/>
          <w:iCs/>
          <w:color w:val="000000" w:themeColor="text1"/>
          <w:sz w:val="24"/>
          <w:szCs w:val="24"/>
          <w:lang w:bidi="hi-IN"/>
        </w:rPr>
        <w:t>.”</w:t>
      </w:r>
      <w:r w:rsidRPr="00131C50">
        <w:rPr>
          <w:rStyle w:val="ab"/>
          <w:rFonts w:ascii="Arial" w:eastAsiaTheme="minorHAnsi" w:hAnsi="Arial" w:cs="Arial"/>
          <w:color w:val="000000" w:themeColor="text1"/>
          <w:sz w:val="24"/>
          <w:szCs w:val="24"/>
          <w:lang w:bidi="hi-IN"/>
        </w:rPr>
        <w:footnoteReference w:id="59"/>
      </w:r>
      <w:r w:rsidRPr="00131C50">
        <w:rPr>
          <w:rFonts w:ascii="Arial" w:eastAsiaTheme="minorHAnsi" w:hAnsi="Arial" w:cs="Arial"/>
          <w:color w:val="000000" w:themeColor="text1"/>
          <w:sz w:val="24"/>
          <w:szCs w:val="24"/>
          <w:lang w:bidi="hi-IN"/>
        </w:rPr>
        <w:t xml:space="preserve"> </w:t>
      </w:r>
    </w:p>
    <w:p w14:paraId="22EED9D2" w14:textId="77777777" w:rsidR="0081799D" w:rsidRPr="00131C50" w:rsidRDefault="0081799D" w:rsidP="0081799D">
      <w:pPr>
        <w:pStyle w:val="a9"/>
        <w:ind w:hanging="720"/>
        <w:rPr>
          <w:rFonts w:ascii="Arial" w:eastAsiaTheme="minorHAnsi" w:hAnsi="Arial" w:cs="Arial"/>
          <w:color w:val="000000" w:themeColor="text1"/>
          <w:sz w:val="24"/>
          <w:szCs w:val="24"/>
          <w:lang w:bidi="hi-IN"/>
        </w:rPr>
      </w:pPr>
    </w:p>
    <w:p w14:paraId="43F32075" w14:textId="1506D03D" w:rsidR="0081799D" w:rsidRPr="00131C50" w:rsidRDefault="0081799D" w:rsidP="001F79D9">
      <w:pPr>
        <w:pStyle w:val="a9"/>
        <w:numPr>
          <w:ilvl w:val="0"/>
          <w:numId w:val="39"/>
        </w:numPr>
        <w:autoSpaceDE w:val="0"/>
        <w:autoSpaceDN w:val="0"/>
        <w:adjustRightInd w:val="0"/>
        <w:ind w:left="720" w:hanging="720"/>
        <w:contextualSpacing w:val="0"/>
        <w:rPr>
          <w:rFonts w:ascii="Arial" w:eastAsiaTheme="minorHAnsi" w:hAnsi="Arial" w:cs="Arial"/>
          <w:color w:val="000000" w:themeColor="text1"/>
          <w:sz w:val="24"/>
          <w:szCs w:val="24"/>
          <w:lang w:eastAsia="en-US" w:bidi="hi-IN"/>
          <w14:ligatures w14:val="standardContextual"/>
        </w:rPr>
      </w:pPr>
      <w:r w:rsidRPr="00131C50">
        <w:rPr>
          <w:rFonts w:ascii="Arial" w:eastAsiaTheme="minorHAnsi" w:hAnsi="Arial" w:cs="Arial"/>
          <w:color w:val="000000"/>
          <w:sz w:val="24"/>
          <w:szCs w:val="24"/>
          <w:lang w:bidi="hi-IN"/>
          <w14:ligatures w14:val="standardContextual"/>
        </w:rPr>
        <w:t xml:space="preserve">In sum, </w:t>
      </w:r>
      <w:r w:rsidR="00F23654">
        <w:rPr>
          <w:rFonts w:ascii="Arial" w:hAnsi="Arial" w:cs="Arial" w:hint="eastAsia"/>
          <w:color w:val="000000"/>
          <w:sz w:val="24"/>
          <w:szCs w:val="24"/>
          <w:lang w:bidi="hi-IN"/>
          <w14:ligatures w14:val="standardContextual"/>
        </w:rPr>
        <w:t>the Applicant</w:t>
      </w:r>
      <w:r w:rsidRPr="00131C50">
        <w:rPr>
          <w:rFonts w:ascii="Arial" w:eastAsiaTheme="minorHAnsi" w:hAnsi="Arial" w:cs="Arial"/>
          <w:color w:val="000000"/>
          <w:sz w:val="24"/>
          <w:szCs w:val="24"/>
          <w:lang w:bidi="hi-IN"/>
          <w14:ligatures w14:val="standardContextual"/>
        </w:rPr>
        <w:t xml:space="preserve"> d</w:t>
      </w:r>
      <w:r w:rsidR="00F23654">
        <w:rPr>
          <w:rFonts w:ascii="Arial" w:hAnsi="Arial" w:cs="Arial" w:hint="eastAsia"/>
          <w:color w:val="000000"/>
          <w:sz w:val="24"/>
          <w:szCs w:val="24"/>
          <w:lang w:bidi="hi-IN"/>
          <w14:ligatures w14:val="standardContextual"/>
        </w:rPr>
        <w:t>id</w:t>
      </w:r>
      <w:r w:rsidRPr="00131C50">
        <w:rPr>
          <w:rFonts w:ascii="Arial" w:eastAsiaTheme="minorHAnsi" w:hAnsi="Arial" w:cs="Arial"/>
          <w:color w:val="000000"/>
          <w:sz w:val="24"/>
          <w:szCs w:val="24"/>
          <w:lang w:bidi="hi-IN"/>
          <w14:ligatures w14:val="standardContextual"/>
        </w:rPr>
        <w:t xml:space="preserve"> not evidence the receipt of a financial contribution through export insurance to the Chinese </w:t>
      </w:r>
      <w:r w:rsidR="00A267E9">
        <w:rPr>
          <w:rFonts w:ascii="Arial" w:hAnsi="Arial" w:cs="Arial" w:hint="eastAsia"/>
          <w:color w:val="000000"/>
          <w:sz w:val="24"/>
          <w:szCs w:val="24"/>
          <w:lang w:bidi="hi-IN"/>
          <w14:ligatures w14:val="standardContextual"/>
        </w:rPr>
        <w:t>E</w:t>
      </w:r>
      <w:r w:rsidR="00F70EF5">
        <w:rPr>
          <w:rFonts w:ascii="Arial" w:hAnsi="Arial" w:cs="Arial" w:hint="eastAsia"/>
          <w:color w:val="000000"/>
          <w:sz w:val="24"/>
          <w:szCs w:val="24"/>
          <w:lang w:bidi="hi-IN"/>
          <w14:ligatures w14:val="standardContextual"/>
        </w:rPr>
        <w:t>x</w:t>
      </w:r>
      <w:r w:rsidR="00A267E9">
        <w:rPr>
          <w:rFonts w:ascii="Arial" w:hAnsi="Arial" w:cs="Arial" w:hint="eastAsia"/>
          <w:color w:val="000000"/>
          <w:sz w:val="24"/>
          <w:szCs w:val="24"/>
          <w:lang w:bidi="hi-IN"/>
          <w14:ligatures w14:val="standardContextual"/>
        </w:rPr>
        <w:t>cavator</w:t>
      </w:r>
      <w:r w:rsidRPr="00131C50">
        <w:rPr>
          <w:rFonts w:ascii="Arial" w:eastAsiaTheme="minorHAnsi" w:hAnsi="Arial" w:cs="Arial"/>
          <w:color w:val="000000"/>
          <w:sz w:val="24"/>
          <w:szCs w:val="24"/>
          <w:lang w:bidi="hi-IN"/>
          <w14:ligatures w14:val="standardContextual"/>
        </w:rPr>
        <w:t xml:space="preserve"> </w:t>
      </w:r>
      <w:r w:rsidRPr="00131C50">
        <w:rPr>
          <w:rFonts w:ascii="Arial" w:eastAsiaTheme="minorHAnsi" w:hAnsi="Arial" w:cs="Arial"/>
          <w:color w:val="000000" w:themeColor="text1"/>
          <w:sz w:val="24"/>
          <w:szCs w:val="24"/>
          <w:lang w:bidi="hi-IN"/>
          <w14:ligatures w14:val="standardContextual"/>
        </w:rPr>
        <w:t xml:space="preserve">producers nor of the existence of any benefit. </w:t>
      </w:r>
    </w:p>
    <w:p w14:paraId="61310BA2" w14:textId="77777777" w:rsidR="0081799D" w:rsidRPr="00131C50" w:rsidRDefault="0081799D" w:rsidP="0081799D">
      <w:pPr>
        <w:pStyle w:val="a9"/>
        <w:ind w:hanging="720"/>
        <w:rPr>
          <w:rFonts w:ascii="Arial" w:hAnsi="Arial" w:cs="Arial"/>
          <w:sz w:val="24"/>
          <w:szCs w:val="24"/>
        </w:rPr>
      </w:pPr>
    </w:p>
    <w:p w14:paraId="31982B9B" w14:textId="7AE645CD" w:rsidR="0081799D" w:rsidRPr="00131C50" w:rsidRDefault="0081799D" w:rsidP="001F79D9">
      <w:pPr>
        <w:pStyle w:val="a9"/>
        <w:numPr>
          <w:ilvl w:val="0"/>
          <w:numId w:val="39"/>
        </w:numPr>
        <w:autoSpaceDE w:val="0"/>
        <w:autoSpaceDN w:val="0"/>
        <w:adjustRightInd w:val="0"/>
        <w:ind w:left="720" w:hanging="720"/>
        <w:contextualSpacing w:val="0"/>
        <w:rPr>
          <w:rFonts w:ascii="Arial" w:eastAsiaTheme="minorHAnsi" w:hAnsi="Arial" w:cs="Arial"/>
          <w:color w:val="000000" w:themeColor="text1"/>
          <w:sz w:val="24"/>
          <w:szCs w:val="24"/>
          <w:lang w:eastAsia="en-US" w:bidi="hi-IN"/>
          <w14:ligatures w14:val="standardContextual"/>
        </w:rPr>
      </w:pPr>
      <w:r w:rsidRPr="00131C50">
        <w:rPr>
          <w:rFonts w:ascii="Arial" w:hAnsi="Arial" w:cs="Arial"/>
          <w:sz w:val="24"/>
          <w:szCs w:val="24"/>
        </w:rPr>
        <w:t xml:space="preserve">As regards specificity, the </w:t>
      </w:r>
      <w:r w:rsidR="00810D2D">
        <w:rPr>
          <w:rFonts w:ascii="Arial" w:hAnsi="Arial" w:cs="Arial" w:hint="eastAsia"/>
          <w:sz w:val="24"/>
          <w:szCs w:val="24"/>
        </w:rPr>
        <w:t>Applicant</w:t>
      </w:r>
      <w:r w:rsidRPr="00131C50">
        <w:rPr>
          <w:rFonts w:ascii="Arial" w:hAnsi="Arial" w:cs="Arial"/>
          <w:sz w:val="24"/>
          <w:szCs w:val="24"/>
        </w:rPr>
        <w:t xml:space="preserve"> does not indicate the basis of the assertion of specificity. If the reference to the case-by-case provision of the alleged export insurance implies that in the </w:t>
      </w:r>
      <w:r w:rsidR="00810D2D">
        <w:rPr>
          <w:rFonts w:ascii="Arial" w:hAnsi="Arial" w:cs="Arial" w:hint="eastAsia"/>
          <w:sz w:val="24"/>
          <w:szCs w:val="24"/>
        </w:rPr>
        <w:t>Applicant</w:t>
      </w:r>
      <w:r w:rsidRPr="00131C50">
        <w:rPr>
          <w:rFonts w:ascii="Arial" w:hAnsi="Arial" w:cs="Arial"/>
          <w:sz w:val="24"/>
          <w:szCs w:val="24"/>
        </w:rPr>
        <w:t xml:space="preserve">’s view, the subsidy is </w:t>
      </w:r>
      <w:r w:rsidRPr="00131C50">
        <w:rPr>
          <w:rFonts w:ascii="Arial" w:hAnsi="Arial" w:cs="Arial"/>
          <w:i/>
          <w:iCs/>
          <w:sz w:val="24"/>
          <w:szCs w:val="24"/>
        </w:rPr>
        <w:t>de facto</w:t>
      </w:r>
      <w:r w:rsidRPr="00131C50">
        <w:rPr>
          <w:rFonts w:ascii="Arial" w:hAnsi="Arial" w:cs="Arial"/>
          <w:sz w:val="24"/>
          <w:szCs w:val="24"/>
        </w:rPr>
        <w:t xml:space="preserve"> limited to specific companies within the meaning of Article 2.1(c) of the SCM Agreement, the Commission has not explained on what basis it considers </w:t>
      </w:r>
      <w:r w:rsidRPr="00131C50">
        <w:rPr>
          <w:rFonts w:ascii="Arial" w:hAnsi="Arial" w:cs="Arial"/>
          <w:i/>
          <w:iCs/>
          <w:sz w:val="24"/>
          <w:szCs w:val="24"/>
        </w:rPr>
        <w:t>de facto</w:t>
      </w:r>
      <w:r w:rsidRPr="00131C50">
        <w:rPr>
          <w:rFonts w:ascii="Arial" w:hAnsi="Arial" w:cs="Arial"/>
          <w:sz w:val="24"/>
          <w:szCs w:val="24"/>
        </w:rPr>
        <w:t xml:space="preserve"> specificity, i.e., which of the factor/s in Article 2.1(c) of the SCM Agreement does it consider exist. Moreover, by its very nature, a </w:t>
      </w:r>
      <w:r w:rsidRPr="00131C50">
        <w:rPr>
          <w:rFonts w:ascii="Arial" w:hAnsi="Arial" w:cs="Arial"/>
          <w:i/>
          <w:iCs/>
          <w:sz w:val="24"/>
          <w:szCs w:val="24"/>
        </w:rPr>
        <w:t>de facto</w:t>
      </w:r>
      <w:r w:rsidRPr="00131C50">
        <w:rPr>
          <w:rFonts w:ascii="Arial" w:hAnsi="Arial" w:cs="Arial"/>
          <w:sz w:val="24"/>
          <w:szCs w:val="24"/>
        </w:rPr>
        <w:t xml:space="preserve"> specificity assertion (and analysis) has to be based on facts. However, the </w:t>
      </w:r>
      <w:r w:rsidR="00692F73">
        <w:rPr>
          <w:rFonts w:ascii="Arial" w:hAnsi="Arial" w:cs="Arial" w:hint="eastAsia"/>
          <w:sz w:val="24"/>
          <w:szCs w:val="24"/>
        </w:rPr>
        <w:t>Applicant</w:t>
      </w:r>
      <w:r w:rsidRPr="00131C50">
        <w:rPr>
          <w:rFonts w:ascii="Arial" w:hAnsi="Arial" w:cs="Arial"/>
          <w:sz w:val="24"/>
          <w:szCs w:val="24"/>
        </w:rPr>
        <w:t xml:space="preserve"> has </w:t>
      </w:r>
      <w:r w:rsidRPr="00131C50">
        <w:rPr>
          <w:rFonts w:ascii="Arial" w:hAnsi="Arial" w:cs="Arial"/>
          <w:sz w:val="24"/>
          <w:szCs w:val="24"/>
        </w:rPr>
        <w:lastRenderedPageBreak/>
        <w:t>not provided any facts.</w:t>
      </w:r>
      <w:r w:rsidRPr="00131C50">
        <w:rPr>
          <w:rStyle w:val="ab"/>
          <w:rFonts w:ascii="Arial" w:hAnsi="Arial" w:cs="Arial"/>
          <w:sz w:val="24"/>
          <w:szCs w:val="24"/>
        </w:rPr>
        <w:footnoteReference w:id="60"/>
      </w:r>
      <w:r w:rsidRPr="00131C50">
        <w:rPr>
          <w:rFonts w:ascii="Arial" w:hAnsi="Arial" w:cs="Arial"/>
          <w:sz w:val="24"/>
          <w:szCs w:val="24"/>
        </w:rPr>
        <w:t xml:space="preserve">  In any event, it is quite clear that, being the Chinese export credit agency, Sinosure seeks to </w:t>
      </w:r>
      <w:r w:rsidRPr="00131C50">
        <w:rPr>
          <w:rFonts w:ascii="Arial" w:eastAsiaTheme="minorHAnsi" w:hAnsi="Arial" w:cs="Arial"/>
          <w:sz w:val="24"/>
          <w:szCs w:val="24"/>
          <w:lang w:eastAsia="en-US" w:bidi="hi-IN"/>
          <w14:ligatures w14:val="standardContextual"/>
        </w:rPr>
        <w:t xml:space="preserve">serve a wide variety of economic sectors, industries and firms as confirmed by its annual reports. Moreover, as noted by the Panel in </w:t>
      </w:r>
      <w:r w:rsidRPr="00131C50">
        <w:rPr>
          <w:rFonts w:ascii="Arial" w:eastAsiaTheme="minorHAnsi" w:hAnsi="Arial" w:cs="Arial"/>
          <w:i/>
          <w:iCs/>
          <w:sz w:val="24"/>
          <w:szCs w:val="24"/>
          <w:lang w:eastAsia="en-US" w:bidi="hi-IN"/>
          <w14:ligatures w14:val="standardContextual"/>
        </w:rPr>
        <w:t xml:space="preserve">China </w:t>
      </w:r>
      <w:r w:rsidRPr="00131C50">
        <w:rPr>
          <w:rFonts w:ascii="Arial" w:hAnsi="Arial" w:cs="Arial"/>
          <w:i/>
          <w:iCs/>
          <w:color w:val="000000" w:themeColor="text1"/>
          <w:sz w:val="24"/>
          <w:szCs w:val="24"/>
        </w:rPr>
        <w:t>–</w:t>
      </w:r>
      <w:r w:rsidRPr="00131C50">
        <w:rPr>
          <w:rFonts w:ascii="Arial" w:eastAsiaTheme="minorHAnsi" w:hAnsi="Arial" w:cs="Arial"/>
          <w:i/>
          <w:iCs/>
          <w:sz w:val="24"/>
          <w:szCs w:val="24"/>
          <w:lang w:eastAsia="en-US" w:bidi="hi-IN"/>
          <w14:ligatures w14:val="standardContextual"/>
        </w:rPr>
        <w:t xml:space="preserve"> GOES</w:t>
      </w:r>
      <w:r w:rsidRPr="00131C50">
        <w:rPr>
          <w:rFonts w:ascii="Arial" w:eastAsiaTheme="minorHAnsi" w:hAnsi="Arial" w:cs="Arial"/>
          <w:sz w:val="24"/>
          <w:szCs w:val="24"/>
          <w:lang w:eastAsia="en-US" w:bidi="hi-IN"/>
          <w14:ligatures w14:val="standardContextual"/>
        </w:rPr>
        <w:t>, differentiated pricing in a market is not evidence of specificity.</w:t>
      </w:r>
      <w:r w:rsidRPr="00131C50">
        <w:rPr>
          <w:rStyle w:val="ab"/>
          <w:rFonts w:ascii="Arial" w:eastAsiaTheme="minorHAnsi" w:hAnsi="Arial" w:cs="Arial"/>
          <w:sz w:val="24"/>
          <w:szCs w:val="24"/>
          <w:lang w:eastAsia="en-US" w:bidi="hi-IN"/>
          <w14:ligatures w14:val="standardContextual"/>
        </w:rPr>
        <w:footnoteReference w:id="61"/>
      </w:r>
    </w:p>
    <w:p w14:paraId="35CDA669" w14:textId="77777777" w:rsidR="0081799D" w:rsidRPr="00131C50" w:rsidRDefault="0081799D" w:rsidP="0081799D">
      <w:pPr>
        <w:pStyle w:val="a9"/>
        <w:ind w:hanging="720"/>
        <w:rPr>
          <w:rFonts w:ascii="Arial" w:eastAsiaTheme="minorHAnsi" w:hAnsi="Arial" w:cs="Arial"/>
          <w:color w:val="000000" w:themeColor="text1"/>
          <w:sz w:val="24"/>
          <w:szCs w:val="24"/>
          <w:lang w:bidi="hi-IN"/>
          <w14:ligatures w14:val="standardContextual"/>
        </w:rPr>
      </w:pPr>
    </w:p>
    <w:p w14:paraId="2D75E077" w14:textId="63EE6DBB" w:rsidR="0081799D" w:rsidRPr="00131C50" w:rsidRDefault="0081799D" w:rsidP="001F79D9">
      <w:pPr>
        <w:pStyle w:val="a9"/>
        <w:numPr>
          <w:ilvl w:val="0"/>
          <w:numId w:val="39"/>
        </w:numPr>
        <w:autoSpaceDE w:val="0"/>
        <w:autoSpaceDN w:val="0"/>
        <w:adjustRightInd w:val="0"/>
        <w:ind w:left="720" w:hanging="720"/>
        <w:contextualSpacing w:val="0"/>
        <w:rPr>
          <w:rFonts w:ascii="Arial" w:eastAsiaTheme="minorHAnsi" w:hAnsi="Arial" w:cs="Arial"/>
          <w:color w:val="000000" w:themeColor="text1"/>
          <w:sz w:val="24"/>
          <w:szCs w:val="24"/>
          <w:lang w:eastAsia="en-US" w:bidi="hi-IN"/>
          <w14:ligatures w14:val="standardContextual"/>
        </w:rPr>
      </w:pPr>
      <w:r w:rsidRPr="00131C50">
        <w:rPr>
          <w:rFonts w:ascii="Arial" w:eastAsiaTheme="minorHAnsi" w:hAnsi="Arial" w:cs="Arial"/>
          <w:color w:val="000000" w:themeColor="text1"/>
          <w:sz w:val="24"/>
          <w:szCs w:val="24"/>
          <w:lang w:bidi="hi-IN"/>
          <w14:ligatures w14:val="standardContextual"/>
        </w:rPr>
        <w:t xml:space="preserve">The above having been said, to the extent the </w:t>
      </w:r>
      <w:r w:rsidR="00810D2D">
        <w:rPr>
          <w:rFonts w:ascii="Arial" w:hAnsi="Arial" w:cs="Arial" w:hint="eastAsia"/>
          <w:color w:val="000000" w:themeColor="text1"/>
          <w:sz w:val="24"/>
          <w:szCs w:val="24"/>
          <w:lang w:bidi="hi-IN"/>
          <w14:ligatures w14:val="standardContextual"/>
        </w:rPr>
        <w:t>Applicant</w:t>
      </w:r>
      <w:r w:rsidRPr="00131C50">
        <w:rPr>
          <w:rFonts w:ascii="Arial" w:eastAsiaTheme="minorHAnsi" w:hAnsi="Arial" w:cs="Arial"/>
          <w:color w:val="000000" w:themeColor="text1"/>
          <w:sz w:val="24"/>
          <w:szCs w:val="24"/>
          <w:lang w:bidi="hi-IN"/>
          <w14:ligatures w14:val="standardContextual"/>
        </w:rPr>
        <w:t xml:space="preserve"> were to claim that the alleged subsidy is export contingent and the </w:t>
      </w:r>
      <w:r w:rsidRPr="00131C50">
        <w:rPr>
          <w:rFonts w:ascii="Arial" w:eastAsiaTheme="minorHAnsi" w:hAnsi="Arial" w:cs="Arial"/>
          <w:i/>
          <w:iCs/>
          <w:color w:val="000000" w:themeColor="text1"/>
          <w:sz w:val="24"/>
          <w:szCs w:val="24"/>
          <w:lang w:bidi="hi-IN"/>
          <w14:ligatures w14:val="standardContextual"/>
        </w:rPr>
        <w:t>premiums charged by Sinsosure would…not be adequate to cover long-term operations</w:t>
      </w:r>
      <w:r w:rsidRPr="00131C50">
        <w:rPr>
          <w:rFonts w:ascii="Arial" w:eastAsiaTheme="minorHAnsi" w:hAnsi="Arial" w:cs="Arial"/>
          <w:color w:val="000000" w:themeColor="text1"/>
          <w:sz w:val="24"/>
          <w:szCs w:val="24"/>
          <w:lang w:bidi="hi-IN"/>
          <w14:ligatures w14:val="standardContextual"/>
        </w:rPr>
        <w:t xml:space="preserve"> and that </w:t>
      </w:r>
      <w:r w:rsidRPr="00131C50">
        <w:rPr>
          <w:rFonts w:ascii="Arial" w:eastAsiaTheme="minorHAnsi" w:hAnsi="Arial" w:cs="Arial"/>
          <w:i/>
          <w:iCs/>
          <w:color w:val="000000" w:themeColor="text1"/>
          <w:sz w:val="24"/>
          <w:szCs w:val="24"/>
          <w:lang w:bidi="hi-IN"/>
          <w14:ligatures w14:val="standardContextual"/>
        </w:rPr>
        <w:t>Sinosure operates in a situation of long-term losses</w:t>
      </w:r>
      <w:r w:rsidRPr="00131C50">
        <w:rPr>
          <w:rFonts w:ascii="Arial" w:eastAsiaTheme="minorHAnsi" w:hAnsi="Arial" w:cs="Arial"/>
          <w:color w:val="000000" w:themeColor="text1"/>
          <w:sz w:val="24"/>
          <w:szCs w:val="24"/>
          <w:lang w:bidi="hi-IN"/>
          <w14:ligatures w14:val="standardContextual"/>
        </w:rPr>
        <w:t xml:space="preserve">, the GOC disagrees. </w:t>
      </w:r>
    </w:p>
    <w:p w14:paraId="2D6ECCB3" w14:textId="77777777" w:rsidR="0081799D" w:rsidRPr="00131C50" w:rsidRDefault="0081799D" w:rsidP="0081799D">
      <w:pPr>
        <w:pStyle w:val="a9"/>
        <w:rPr>
          <w:rFonts w:ascii="Arial" w:eastAsiaTheme="minorHAnsi" w:hAnsi="Arial" w:cs="Arial"/>
          <w:color w:val="000000" w:themeColor="text1"/>
          <w:sz w:val="24"/>
          <w:szCs w:val="24"/>
          <w:lang w:bidi="hi-IN"/>
          <w14:ligatures w14:val="standardContextual"/>
        </w:rPr>
      </w:pPr>
    </w:p>
    <w:p w14:paraId="0EAFC499" w14:textId="5B58FA2B" w:rsidR="0081799D" w:rsidRPr="00BA0E9E" w:rsidRDefault="0081799D" w:rsidP="001F79D9">
      <w:pPr>
        <w:pStyle w:val="a9"/>
        <w:numPr>
          <w:ilvl w:val="0"/>
          <w:numId w:val="39"/>
        </w:numPr>
        <w:autoSpaceDE w:val="0"/>
        <w:autoSpaceDN w:val="0"/>
        <w:adjustRightInd w:val="0"/>
        <w:ind w:left="720" w:hanging="720"/>
        <w:contextualSpacing w:val="0"/>
        <w:rPr>
          <w:rFonts w:ascii="Arial" w:eastAsiaTheme="minorHAnsi" w:hAnsi="Arial" w:cs="Arial"/>
          <w:color w:val="000000" w:themeColor="text1"/>
          <w:sz w:val="24"/>
          <w:szCs w:val="24"/>
          <w:lang w:eastAsia="en-US" w:bidi="hi-IN"/>
          <w14:ligatures w14:val="standardContextual"/>
        </w:rPr>
      </w:pPr>
      <w:r w:rsidRPr="00131C50">
        <w:rPr>
          <w:rFonts w:ascii="Arial" w:eastAsiaTheme="minorHAnsi" w:hAnsi="Arial" w:cs="Arial"/>
          <w:color w:val="000000" w:themeColor="text1"/>
          <w:sz w:val="24"/>
          <w:szCs w:val="24"/>
          <w:lang w:bidi="hi-IN"/>
          <w14:ligatures w14:val="standardContextual"/>
        </w:rPr>
        <w:t xml:space="preserve">To conclude, the GOC considers that the </w:t>
      </w:r>
      <w:r w:rsidR="00810D2D">
        <w:rPr>
          <w:rFonts w:ascii="Arial" w:hAnsi="Arial" w:cs="Arial" w:hint="eastAsia"/>
          <w:color w:val="000000" w:themeColor="text1"/>
          <w:sz w:val="24"/>
          <w:szCs w:val="24"/>
          <w:lang w:bidi="hi-IN"/>
          <w14:ligatures w14:val="standardContextual"/>
        </w:rPr>
        <w:t>Applicant provided</w:t>
      </w:r>
      <w:r w:rsidRPr="00131C50">
        <w:rPr>
          <w:rFonts w:ascii="Arial" w:eastAsiaTheme="minorHAnsi" w:hAnsi="Arial" w:cs="Arial"/>
          <w:color w:val="000000" w:themeColor="text1"/>
          <w:sz w:val="24"/>
          <w:szCs w:val="24"/>
          <w:lang w:bidi="hi-IN"/>
          <w14:ligatures w14:val="standardContextual"/>
        </w:rPr>
        <w:t xml:space="preserve"> no evidence probative of the question whether the alleged export insurance conferred a benefit on the </w:t>
      </w:r>
      <w:r w:rsidR="00810D2D">
        <w:rPr>
          <w:rFonts w:ascii="Arial" w:hAnsi="Arial" w:cs="Arial" w:hint="eastAsia"/>
          <w:color w:val="000000" w:themeColor="text1"/>
          <w:sz w:val="24"/>
          <w:szCs w:val="24"/>
          <w:lang w:bidi="hi-IN"/>
          <w14:ligatures w14:val="standardContextual"/>
        </w:rPr>
        <w:t>E</w:t>
      </w:r>
      <w:r w:rsidR="00F70EF5">
        <w:rPr>
          <w:rFonts w:ascii="Arial" w:hAnsi="Arial" w:cs="Arial" w:hint="eastAsia"/>
          <w:color w:val="000000" w:themeColor="text1"/>
          <w:sz w:val="24"/>
          <w:szCs w:val="24"/>
          <w:lang w:bidi="hi-IN"/>
          <w14:ligatures w14:val="standardContextual"/>
        </w:rPr>
        <w:t>x</w:t>
      </w:r>
      <w:r w:rsidR="00810D2D">
        <w:rPr>
          <w:rFonts w:ascii="Arial" w:hAnsi="Arial" w:cs="Arial" w:hint="eastAsia"/>
          <w:color w:val="000000" w:themeColor="text1"/>
          <w:sz w:val="24"/>
          <w:szCs w:val="24"/>
          <w:lang w:bidi="hi-IN"/>
          <w14:ligatures w14:val="standardContextual"/>
        </w:rPr>
        <w:t>cavator</w:t>
      </w:r>
      <w:r w:rsidRPr="00131C50">
        <w:rPr>
          <w:rFonts w:ascii="Arial" w:eastAsiaTheme="minorHAnsi" w:hAnsi="Arial" w:cs="Arial"/>
          <w:color w:val="000000" w:themeColor="text1"/>
          <w:sz w:val="24"/>
          <w:szCs w:val="24"/>
          <w:lang w:bidi="hi-IN"/>
          <w14:ligatures w14:val="standardContextual"/>
        </w:rPr>
        <w:t xml:space="preserve"> producers. Thus, the investigation in respect of this alleged scheme is in breach of the </w:t>
      </w:r>
      <w:r w:rsidR="00810D2D">
        <w:rPr>
          <w:rFonts w:ascii="Arial" w:hAnsi="Arial" w:cs="Arial" w:hint="eastAsia"/>
          <w:color w:val="000000" w:themeColor="text1"/>
          <w:sz w:val="24"/>
          <w:szCs w:val="24"/>
          <w:lang w:bidi="hi-IN"/>
          <w14:ligatures w14:val="standardContextual"/>
        </w:rPr>
        <w:t>UK</w:t>
      </w:r>
      <w:r w:rsidRPr="00131C50">
        <w:rPr>
          <w:rFonts w:ascii="Arial" w:eastAsiaTheme="minorHAnsi" w:hAnsi="Arial" w:cs="Arial"/>
          <w:color w:val="000000" w:themeColor="text1"/>
          <w:sz w:val="24"/>
          <w:szCs w:val="24"/>
          <w:lang w:bidi="hi-IN"/>
          <w14:ligatures w14:val="standardContextual"/>
        </w:rPr>
        <w:t>’s obligations under Articles 11.2, 11.3 and 11.6 of the SCM Agreement.</w:t>
      </w:r>
    </w:p>
    <w:p w14:paraId="5AB6EFCF" w14:textId="77777777" w:rsidR="00BA0E9E" w:rsidRPr="00BA0E9E" w:rsidRDefault="00BA0E9E" w:rsidP="00BA0E9E">
      <w:pPr>
        <w:pStyle w:val="a9"/>
        <w:autoSpaceDE w:val="0"/>
        <w:autoSpaceDN w:val="0"/>
        <w:adjustRightInd w:val="0"/>
        <w:contextualSpacing w:val="0"/>
        <w:rPr>
          <w:rFonts w:ascii="Arial" w:eastAsiaTheme="minorHAnsi" w:hAnsi="Arial" w:cs="Arial"/>
          <w:color w:val="000000" w:themeColor="text1"/>
          <w:sz w:val="24"/>
          <w:szCs w:val="24"/>
          <w:lang w:eastAsia="en-US" w:bidi="hi-IN"/>
          <w14:ligatures w14:val="standardContextual"/>
        </w:rPr>
      </w:pPr>
    </w:p>
    <w:p w14:paraId="05A46003" w14:textId="2906ADA9" w:rsidR="00BA0E9E" w:rsidRDefault="00BA0E9E" w:rsidP="00BA0E9E">
      <w:pPr>
        <w:pStyle w:val="3"/>
        <w:rPr>
          <w:rFonts w:ascii="Arial" w:eastAsiaTheme="minorEastAsia" w:hAnsi="Arial" w:cs="Arial"/>
          <w:b/>
          <w:bCs/>
          <w:color w:val="auto"/>
        </w:rPr>
      </w:pPr>
      <w:bookmarkStart w:id="39" w:name="_Toc161355134"/>
      <w:r w:rsidRPr="0038092C">
        <w:rPr>
          <w:rFonts w:ascii="Arial" w:eastAsia="Times New Roman" w:hAnsi="Arial" w:cs="Arial"/>
          <w:b/>
          <w:bCs/>
          <w:color w:val="auto"/>
          <w:lang w:eastAsia="en-US"/>
        </w:rPr>
        <w:t xml:space="preserve">Alleged </w:t>
      </w:r>
      <w:bookmarkStart w:id="40" w:name="_Hlk161350166"/>
      <w:r w:rsidRPr="0038092C">
        <w:rPr>
          <w:rFonts w:ascii="Arial" w:eastAsia="Times New Roman" w:hAnsi="Arial" w:cs="Arial"/>
          <w:b/>
          <w:bCs/>
          <w:color w:val="auto"/>
          <w:lang w:eastAsia="en-US"/>
        </w:rPr>
        <w:t xml:space="preserve">provision of </w:t>
      </w:r>
      <w:r>
        <w:rPr>
          <w:rFonts w:ascii="Arial" w:eastAsiaTheme="minorEastAsia" w:hAnsi="Arial" w:cs="Arial" w:hint="eastAsia"/>
          <w:b/>
          <w:bCs/>
          <w:color w:val="auto"/>
        </w:rPr>
        <w:t xml:space="preserve">shipping and logistics services </w:t>
      </w:r>
      <w:r w:rsidRPr="00BA0E9E">
        <w:rPr>
          <w:rFonts w:ascii="Arial" w:eastAsiaTheme="minorEastAsia" w:hAnsi="Arial" w:cs="Arial"/>
          <w:b/>
          <w:bCs/>
          <w:color w:val="auto"/>
        </w:rPr>
        <w:t>at LTAR</w:t>
      </w:r>
      <w:bookmarkEnd w:id="39"/>
      <w:bookmarkEnd w:id="40"/>
      <w:r w:rsidRPr="00BA0E9E">
        <w:rPr>
          <w:rFonts w:ascii="Arial" w:eastAsiaTheme="minorEastAsia" w:hAnsi="Arial" w:cs="Arial"/>
          <w:b/>
          <w:bCs/>
          <w:color w:val="auto"/>
        </w:rPr>
        <w:t xml:space="preserve"> </w:t>
      </w:r>
    </w:p>
    <w:p w14:paraId="2221B889" w14:textId="77777777" w:rsidR="00AD2E34" w:rsidRPr="00AD2E34" w:rsidRDefault="00AD2E34" w:rsidP="00AD2E34">
      <w:pPr>
        <w:pStyle w:val="a9"/>
        <w:autoSpaceDE w:val="0"/>
        <w:autoSpaceDN w:val="0"/>
        <w:adjustRightInd w:val="0"/>
        <w:contextualSpacing w:val="0"/>
        <w:rPr>
          <w:rFonts w:ascii="Arial" w:eastAsiaTheme="minorHAnsi" w:hAnsi="Arial" w:cs="Arial"/>
          <w:color w:val="000000" w:themeColor="text1"/>
          <w:sz w:val="24"/>
          <w:szCs w:val="24"/>
          <w:lang w:eastAsia="en-US" w:bidi="hi-IN"/>
          <w14:ligatures w14:val="standardContextual"/>
        </w:rPr>
      </w:pPr>
    </w:p>
    <w:p w14:paraId="710230A3" w14:textId="7E6DFE48" w:rsidR="00637B9E" w:rsidRPr="00637B9E" w:rsidRDefault="00AD2E34" w:rsidP="00637B9E">
      <w:pPr>
        <w:pStyle w:val="a9"/>
        <w:numPr>
          <w:ilvl w:val="0"/>
          <w:numId w:val="39"/>
        </w:numPr>
        <w:autoSpaceDE w:val="0"/>
        <w:autoSpaceDN w:val="0"/>
        <w:adjustRightInd w:val="0"/>
        <w:ind w:left="720" w:hanging="720"/>
        <w:contextualSpacing w:val="0"/>
        <w:rPr>
          <w:rFonts w:ascii="Arial" w:eastAsiaTheme="minorHAnsi" w:hAnsi="Arial" w:cs="Arial"/>
          <w:color w:val="000000" w:themeColor="text1"/>
          <w:sz w:val="24"/>
          <w:szCs w:val="24"/>
          <w:lang w:bidi="hi-IN"/>
          <w14:ligatures w14:val="standardContextual"/>
        </w:rPr>
      </w:pPr>
      <w:r w:rsidRPr="001C12DE">
        <w:rPr>
          <w:rFonts w:ascii="Arial" w:eastAsiaTheme="minorHAnsi" w:hAnsi="Arial" w:cs="Arial" w:hint="eastAsia"/>
          <w:color w:val="000000" w:themeColor="text1"/>
          <w:sz w:val="24"/>
          <w:szCs w:val="24"/>
          <w:lang w:bidi="hi-IN"/>
          <w14:ligatures w14:val="standardContextual"/>
        </w:rPr>
        <w:t xml:space="preserve">The Applicant alleges that </w:t>
      </w:r>
      <w:r w:rsidR="00637B9E">
        <w:rPr>
          <w:rFonts w:ascii="Arial" w:hAnsi="Arial" w:cs="Arial"/>
          <w:color w:val="000000" w:themeColor="text1"/>
          <w:sz w:val="24"/>
          <w:szCs w:val="24"/>
          <w:lang w:bidi="hi-IN"/>
          <w14:ligatures w14:val="standardContextual"/>
        </w:rPr>
        <w:t>“</w:t>
      </w:r>
      <w:r w:rsidR="001C12DE" w:rsidRPr="00637B9E">
        <w:rPr>
          <w:rFonts w:ascii="Arial" w:eastAsiaTheme="minorHAnsi" w:hAnsi="Arial" w:cs="Arial"/>
          <w:i/>
          <w:iCs/>
          <w:color w:val="000000" w:themeColor="text1"/>
          <w:sz w:val="24"/>
          <w:szCs w:val="24"/>
          <w:lang w:bidi="hi-IN"/>
          <w14:ligatures w14:val="standardContextual"/>
        </w:rPr>
        <w:t>Chinese Excavator manufacturers benefit from the provision of shipping services at LTAR, as the GOC depresses prices for these services by intervening heavily in the Chinese shipping and logistics services markets, which are dominated by SOEs. The provision of shipping and logistics</w:t>
      </w:r>
      <w:r w:rsidR="001C12DE" w:rsidRPr="00637B9E">
        <w:rPr>
          <w:rFonts w:ascii="Arial" w:eastAsiaTheme="minorHAnsi" w:hAnsi="Arial" w:cs="Arial" w:hint="eastAsia"/>
          <w:i/>
          <w:iCs/>
          <w:color w:val="000000" w:themeColor="text1"/>
          <w:sz w:val="24"/>
          <w:szCs w:val="24"/>
          <w:lang w:bidi="hi-IN"/>
          <w14:ligatures w14:val="standardContextual"/>
        </w:rPr>
        <w:t xml:space="preserve"> </w:t>
      </w:r>
      <w:r w:rsidR="001C12DE" w:rsidRPr="00637B9E">
        <w:rPr>
          <w:rFonts w:ascii="Arial" w:eastAsiaTheme="minorHAnsi" w:hAnsi="Arial" w:cs="Arial"/>
          <w:i/>
          <w:iCs/>
          <w:color w:val="000000" w:themeColor="text1"/>
          <w:sz w:val="24"/>
          <w:szCs w:val="24"/>
          <w:lang w:bidi="hi-IN"/>
          <w14:ligatures w14:val="standardContextual"/>
        </w:rPr>
        <w:t>services at LTAR constitutes a countervailable subsidy</w:t>
      </w:r>
      <w:r w:rsidR="00637B9E">
        <w:rPr>
          <w:rFonts w:ascii="Arial" w:hAnsi="Arial" w:cs="Arial"/>
          <w:color w:val="000000" w:themeColor="text1"/>
          <w:sz w:val="24"/>
          <w:szCs w:val="24"/>
          <w:lang w:bidi="hi-IN"/>
          <w14:ligatures w14:val="standardContextual"/>
        </w:rPr>
        <w:t>”</w:t>
      </w:r>
      <w:r w:rsidR="001C12DE" w:rsidRPr="001C12DE">
        <w:rPr>
          <w:rFonts w:ascii="Arial" w:eastAsiaTheme="minorHAnsi" w:hAnsi="Arial" w:cs="Arial"/>
          <w:color w:val="000000" w:themeColor="text1"/>
          <w:sz w:val="24"/>
          <w:szCs w:val="24"/>
          <w:lang w:bidi="hi-IN"/>
          <w14:ligatures w14:val="standardContextual"/>
        </w:rPr>
        <w:t>.</w:t>
      </w:r>
      <w:r w:rsidR="001C12DE" w:rsidRPr="00637B9E">
        <w:rPr>
          <w:rFonts w:ascii="Arial" w:eastAsiaTheme="minorHAnsi" w:hAnsi="Arial" w:cs="Arial" w:hint="eastAsia"/>
          <w:color w:val="000000" w:themeColor="text1"/>
          <w:sz w:val="24"/>
          <w:szCs w:val="24"/>
          <w:lang w:bidi="hi-IN"/>
          <w14:ligatures w14:val="standardContextual"/>
        </w:rPr>
        <w:t xml:space="preserve"> </w:t>
      </w:r>
      <w:r w:rsidR="00637B9E">
        <w:rPr>
          <w:rStyle w:val="ab"/>
          <w:rFonts w:ascii="Arial" w:eastAsiaTheme="minorHAnsi" w:hAnsi="Arial" w:cs="Arial"/>
          <w:color w:val="000000" w:themeColor="text1"/>
          <w:sz w:val="24"/>
          <w:szCs w:val="24"/>
          <w:lang w:bidi="hi-IN"/>
          <w14:ligatures w14:val="standardContextual"/>
        </w:rPr>
        <w:footnoteReference w:id="62"/>
      </w:r>
    </w:p>
    <w:p w14:paraId="2A25B06C" w14:textId="77777777" w:rsidR="00637B9E" w:rsidRPr="00637B9E" w:rsidRDefault="00637B9E" w:rsidP="00637B9E">
      <w:pPr>
        <w:pStyle w:val="a9"/>
        <w:autoSpaceDE w:val="0"/>
        <w:autoSpaceDN w:val="0"/>
        <w:adjustRightInd w:val="0"/>
        <w:ind w:left="644"/>
        <w:contextualSpacing w:val="0"/>
        <w:rPr>
          <w:rFonts w:ascii="Arial" w:eastAsiaTheme="minorHAnsi" w:hAnsi="Arial" w:cs="Arial"/>
          <w:color w:val="000000" w:themeColor="text1"/>
          <w:sz w:val="24"/>
          <w:szCs w:val="24"/>
          <w:lang w:bidi="hi-IN"/>
          <w14:ligatures w14:val="standardContextual"/>
        </w:rPr>
      </w:pPr>
    </w:p>
    <w:p w14:paraId="35FCBCE9" w14:textId="6F40136D" w:rsidR="006512CB" w:rsidRPr="006512CB" w:rsidRDefault="006512CB" w:rsidP="00637B9E">
      <w:pPr>
        <w:pStyle w:val="a9"/>
        <w:numPr>
          <w:ilvl w:val="0"/>
          <w:numId w:val="39"/>
        </w:numPr>
        <w:autoSpaceDE w:val="0"/>
        <w:autoSpaceDN w:val="0"/>
        <w:adjustRightInd w:val="0"/>
        <w:ind w:left="720" w:hanging="720"/>
        <w:contextualSpacing w:val="0"/>
        <w:rPr>
          <w:rFonts w:ascii="Arial" w:eastAsiaTheme="minorHAnsi" w:hAnsi="Arial" w:cs="Arial"/>
          <w:color w:val="000000" w:themeColor="text1"/>
          <w:sz w:val="24"/>
          <w:szCs w:val="24"/>
          <w:lang w:bidi="hi-IN"/>
          <w14:ligatures w14:val="standardContextual"/>
        </w:rPr>
      </w:pPr>
      <w:r>
        <w:rPr>
          <w:rFonts w:ascii="Arial" w:hAnsi="Arial" w:cs="Arial" w:hint="eastAsia"/>
          <w:color w:val="000000" w:themeColor="text1"/>
          <w:sz w:val="24"/>
          <w:szCs w:val="24"/>
          <w:lang w:bidi="hi-IN"/>
          <w14:ligatures w14:val="standardContextual"/>
        </w:rPr>
        <w:t>The GOC strongly opposes the Applicant</w:t>
      </w:r>
      <w:r>
        <w:rPr>
          <w:rFonts w:ascii="Arial" w:hAnsi="Arial" w:cs="Arial"/>
          <w:color w:val="000000" w:themeColor="text1"/>
          <w:sz w:val="24"/>
          <w:szCs w:val="24"/>
          <w:lang w:bidi="hi-IN"/>
          <w14:ligatures w14:val="standardContextual"/>
        </w:rPr>
        <w:t>’</w:t>
      </w:r>
      <w:r>
        <w:rPr>
          <w:rFonts w:ascii="Arial" w:hAnsi="Arial" w:cs="Arial" w:hint="eastAsia"/>
          <w:color w:val="000000" w:themeColor="text1"/>
          <w:sz w:val="24"/>
          <w:szCs w:val="24"/>
          <w:lang w:bidi="hi-IN"/>
          <w14:ligatures w14:val="standardContextual"/>
        </w:rPr>
        <w:t xml:space="preserve">s such allegations which </w:t>
      </w:r>
      <w:r w:rsidRPr="006512CB">
        <w:rPr>
          <w:rFonts w:ascii="Arial" w:eastAsiaTheme="minorHAnsi" w:hAnsi="Arial" w:cs="Arial"/>
          <w:color w:val="000000" w:themeColor="text1"/>
          <w:sz w:val="24"/>
          <w:szCs w:val="24"/>
          <w:lang w:bidi="hi-IN"/>
          <w14:ligatures w14:val="standardContextual"/>
        </w:rPr>
        <w:t xml:space="preserve">are not rooted in facts but are based on assumptions, and the misinterpretation and misrepresentation of information. </w:t>
      </w:r>
      <w:r w:rsidR="0054044D">
        <w:rPr>
          <w:rFonts w:ascii="Arial" w:hAnsi="Arial" w:cs="Arial" w:hint="eastAsia"/>
          <w:color w:val="000000" w:themeColor="text1"/>
          <w:sz w:val="24"/>
          <w:szCs w:val="24"/>
          <w:lang w:bidi="hi-IN"/>
          <w14:ligatures w14:val="standardContextual"/>
        </w:rPr>
        <w:t xml:space="preserve">The GOC further submits that the Applicant </w:t>
      </w:r>
      <w:r w:rsidR="0054044D">
        <w:rPr>
          <w:rFonts w:ascii="Arial" w:hAnsi="Arial" w:cs="Arial" w:hint="eastAsia"/>
          <w:color w:val="000000" w:themeColor="text1"/>
          <w:sz w:val="24"/>
          <w:szCs w:val="24"/>
          <w:lang w:bidi="hi-IN"/>
          <w14:ligatures w14:val="standardContextual"/>
        </w:rPr>
        <w:lastRenderedPageBreak/>
        <w:t xml:space="preserve">failed to provide sufficient evidences on the existence of a financial contribution, evidence of benefit and </w:t>
      </w:r>
      <w:r w:rsidR="0054044D" w:rsidRPr="0054044D">
        <w:rPr>
          <w:rFonts w:ascii="Arial" w:hAnsi="Arial" w:cs="Arial"/>
          <w:color w:val="000000" w:themeColor="text1"/>
          <w:sz w:val="24"/>
          <w:szCs w:val="24"/>
          <w:lang w:bidi="hi-IN"/>
          <w14:ligatures w14:val="standardContextual"/>
        </w:rPr>
        <w:t>evidence of specificity</w:t>
      </w:r>
      <w:r w:rsidR="0054044D">
        <w:rPr>
          <w:rFonts w:ascii="Arial" w:hAnsi="Arial" w:cs="Arial" w:hint="eastAsia"/>
          <w:color w:val="000000" w:themeColor="text1"/>
          <w:sz w:val="24"/>
          <w:szCs w:val="24"/>
          <w:lang w:bidi="hi-IN"/>
          <w14:ligatures w14:val="standardContextual"/>
        </w:rPr>
        <w:t xml:space="preserve"> to support </w:t>
      </w:r>
      <w:r w:rsidR="00F23654">
        <w:rPr>
          <w:rFonts w:ascii="Arial" w:hAnsi="Arial" w:cs="Arial" w:hint="eastAsia"/>
          <w:color w:val="000000" w:themeColor="text1"/>
          <w:sz w:val="24"/>
          <w:szCs w:val="24"/>
          <w:lang w:bidi="hi-IN"/>
          <w14:ligatures w14:val="standardContextual"/>
        </w:rPr>
        <w:t>its assertion</w:t>
      </w:r>
      <w:r w:rsidR="0054044D">
        <w:rPr>
          <w:rFonts w:ascii="Arial" w:hAnsi="Arial" w:cs="Arial" w:hint="eastAsia"/>
          <w:color w:val="000000" w:themeColor="text1"/>
          <w:sz w:val="24"/>
          <w:szCs w:val="24"/>
          <w:lang w:bidi="hi-IN"/>
          <w14:ligatures w14:val="standardContextual"/>
        </w:rPr>
        <w:t>.</w:t>
      </w:r>
    </w:p>
    <w:p w14:paraId="3BE7F489" w14:textId="77777777" w:rsidR="006512CB" w:rsidRPr="006512CB" w:rsidRDefault="006512CB" w:rsidP="006512CB">
      <w:pPr>
        <w:pStyle w:val="a9"/>
        <w:rPr>
          <w:rFonts w:ascii="Arial" w:eastAsiaTheme="minorHAnsi" w:hAnsi="Arial" w:cs="Arial"/>
          <w:color w:val="000000" w:themeColor="text1"/>
          <w:sz w:val="24"/>
          <w:szCs w:val="24"/>
          <w:lang w:bidi="hi-IN"/>
          <w14:ligatures w14:val="standardContextual"/>
        </w:rPr>
      </w:pPr>
    </w:p>
    <w:p w14:paraId="076D43BF" w14:textId="08F3AFE2" w:rsidR="00EE04E3" w:rsidRPr="00131C50" w:rsidRDefault="00F23654" w:rsidP="00EE04E3">
      <w:pPr>
        <w:pStyle w:val="a9"/>
        <w:numPr>
          <w:ilvl w:val="0"/>
          <w:numId w:val="40"/>
        </w:numPr>
        <w:autoSpaceDE w:val="0"/>
        <w:autoSpaceDN w:val="0"/>
        <w:adjustRightInd w:val="0"/>
        <w:ind w:hanging="644"/>
        <w:contextualSpacing w:val="0"/>
        <w:rPr>
          <w:rFonts w:ascii="Arial" w:eastAsia="Times New Roman" w:hAnsi="Arial" w:cs="Arial"/>
          <w:color w:val="000000" w:themeColor="text1"/>
          <w:sz w:val="24"/>
          <w:szCs w:val="24"/>
          <w:lang w:eastAsia="en-US"/>
        </w:rPr>
      </w:pPr>
      <w:r>
        <w:rPr>
          <w:rFonts w:ascii="Arial" w:hAnsi="Arial" w:cs="Arial" w:hint="eastAsia"/>
          <w:color w:val="000000" w:themeColor="text1"/>
          <w:sz w:val="24"/>
          <w:szCs w:val="24"/>
        </w:rPr>
        <w:t>The GOC recalls that</w:t>
      </w:r>
      <w:r w:rsidR="00EE04E3" w:rsidRPr="00131C50">
        <w:rPr>
          <w:rFonts w:ascii="Arial" w:eastAsia="Times New Roman" w:hAnsi="Arial" w:cs="Arial"/>
          <w:color w:val="000000" w:themeColor="text1"/>
          <w:sz w:val="24"/>
          <w:szCs w:val="24"/>
          <w:lang w:eastAsia="en-US"/>
        </w:rPr>
        <w:t xml:space="preserve"> the Appellate Body in </w:t>
      </w:r>
      <w:r w:rsidR="00EE04E3" w:rsidRPr="00131C50">
        <w:rPr>
          <w:rFonts w:ascii="Arial" w:hAnsi="Arial" w:cs="Arial"/>
          <w:i/>
          <w:color w:val="000000" w:themeColor="text1"/>
          <w:sz w:val="24"/>
          <w:szCs w:val="24"/>
        </w:rPr>
        <w:t xml:space="preserve">US – Anti-Dumping and Countervailing Duties (China) </w:t>
      </w:r>
      <w:r w:rsidR="00EE04E3" w:rsidRPr="00131C50">
        <w:rPr>
          <w:rFonts w:ascii="Arial" w:hAnsi="Arial" w:cs="Arial"/>
          <w:iCs/>
          <w:color w:val="000000" w:themeColor="text1"/>
          <w:sz w:val="24"/>
          <w:szCs w:val="24"/>
        </w:rPr>
        <w:t>held that the term</w:t>
      </w:r>
      <w:r w:rsidR="00EE04E3" w:rsidRPr="00131C50">
        <w:rPr>
          <w:rFonts w:ascii="Arial" w:hAnsi="Arial" w:cs="Arial"/>
          <w:i/>
          <w:color w:val="000000" w:themeColor="text1"/>
          <w:sz w:val="24"/>
          <w:szCs w:val="24"/>
        </w:rPr>
        <w:t xml:space="preserve"> “</w:t>
      </w:r>
      <w:r w:rsidR="00EE04E3" w:rsidRPr="00131C50">
        <w:rPr>
          <w:rFonts w:ascii="Arial" w:hAnsi="Arial" w:cs="Arial"/>
          <w:i/>
          <w:iCs/>
          <w:color w:val="000000" w:themeColor="text1"/>
          <w:sz w:val="24"/>
          <w:szCs w:val="24"/>
        </w:rPr>
        <w:t xml:space="preserve">public body” </w:t>
      </w:r>
      <w:r w:rsidR="00EE04E3" w:rsidRPr="00131C50">
        <w:rPr>
          <w:rFonts w:ascii="Arial" w:hAnsi="Arial" w:cs="Arial"/>
          <w:color w:val="000000" w:themeColor="text1"/>
          <w:sz w:val="24"/>
          <w:szCs w:val="24"/>
        </w:rPr>
        <w:t>refers to an entity that “</w:t>
      </w:r>
      <w:r w:rsidR="00EE04E3" w:rsidRPr="00131C50">
        <w:rPr>
          <w:rFonts w:ascii="Arial" w:hAnsi="Arial" w:cs="Arial"/>
          <w:i/>
          <w:iCs/>
          <w:color w:val="000000" w:themeColor="text1"/>
          <w:sz w:val="24"/>
          <w:szCs w:val="24"/>
        </w:rPr>
        <w:t>possesses, exercises or is vested with governmental authority</w:t>
      </w:r>
      <w:r w:rsidR="00EE04E3" w:rsidRPr="00131C50">
        <w:rPr>
          <w:rFonts w:ascii="Arial" w:hAnsi="Arial" w:cs="Arial"/>
          <w:color w:val="000000" w:themeColor="text1"/>
          <w:sz w:val="24"/>
          <w:szCs w:val="24"/>
        </w:rPr>
        <w:t>.”</w:t>
      </w:r>
      <w:r w:rsidR="00EE04E3" w:rsidRPr="00131C50">
        <w:rPr>
          <w:rStyle w:val="ab"/>
          <w:rFonts w:ascii="Arial" w:hAnsi="Arial" w:cs="Arial"/>
          <w:color w:val="000000" w:themeColor="text1"/>
          <w:sz w:val="24"/>
          <w:szCs w:val="24"/>
        </w:rPr>
        <w:footnoteReference w:id="63"/>
      </w:r>
      <w:r w:rsidR="00EE04E3" w:rsidRPr="00131C50">
        <w:rPr>
          <w:rFonts w:ascii="Arial" w:hAnsi="Arial" w:cs="Arial"/>
          <w:color w:val="000000" w:themeColor="text1"/>
          <w:sz w:val="24"/>
          <w:szCs w:val="24"/>
        </w:rPr>
        <w:t xml:space="preserve">  In </w:t>
      </w:r>
      <w:r w:rsidR="00EE04E3" w:rsidRPr="00131C50">
        <w:rPr>
          <w:rFonts w:ascii="Arial" w:eastAsia="Times New Roman" w:hAnsi="Arial" w:cs="Arial"/>
          <w:i/>
          <w:color w:val="000000" w:themeColor="text1"/>
          <w:sz w:val="24"/>
          <w:szCs w:val="24"/>
          <w:lang w:eastAsia="en-US"/>
        </w:rPr>
        <w:t xml:space="preserve">US </w:t>
      </w:r>
      <w:r w:rsidR="00EE04E3" w:rsidRPr="00131C50">
        <w:rPr>
          <w:rFonts w:ascii="Arial" w:hAnsi="Arial" w:cs="Arial"/>
          <w:i/>
          <w:color w:val="000000" w:themeColor="text1"/>
          <w:sz w:val="24"/>
          <w:szCs w:val="24"/>
        </w:rPr>
        <w:t>–</w:t>
      </w:r>
      <w:r w:rsidR="00EE04E3" w:rsidRPr="00131C50">
        <w:rPr>
          <w:rFonts w:ascii="Arial" w:eastAsia="Times New Roman" w:hAnsi="Arial" w:cs="Arial"/>
          <w:i/>
          <w:color w:val="000000" w:themeColor="text1"/>
          <w:sz w:val="24"/>
          <w:szCs w:val="24"/>
          <w:lang w:eastAsia="en-US"/>
        </w:rPr>
        <w:t xml:space="preserve"> Carbon Steel (India)</w:t>
      </w:r>
      <w:r w:rsidR="00EE04E3" w:rsidRPr="00131C50">
        <w:rPr>
          <w:rFonts w:ascii="Arial" w:eastAsia="Times New Roman" w:hAnsi="Arial" w:cs="Arial"/>
          <w:color w:val="000000" w:themeColor="text1"/>
          <w:sz w:val="24"/>
          <w:szCs w:val="24"/>
          <w:lang w:eastAsia="en-US"/>
        </w:rPr>
        <w:t>, the Appellate Body established the following criteria for assessing the existence of a “public body”:</w:t>
      </w:r>
    </w:p>
    <w:p w14:paraId="05CCA705" w14:textId="77777777" w:rsidR="00EE04E3" w:rsidRPr="00131C50" w:rsidRDefault="00EE04E3" w:rsidP="00EE04E3">
      <w:pPr>
        <w:pStyle w:val="a9"/>
        <w:numPr>
          <w:ilvl w:val="0"/>
          <w:numId w:val="3"/>
        </w:numPr>
        <w:autoSpaceDE w:val="0"/>
        <w:autoSpaceDN w:val="0"/>
        <w:adjustRightInd w:val="0"/>
        <w:contextualSpacing w:val="0"/>
        <w:rPr>
          <w:rFonts w:ascii="Arial" w:eastAsia="Times New Roman" w:hAnsi="Arial" w:cs="Arial"/>
          <w:color w:val="000000" w:themeColor="text1"/>
          <w:sz w:val="24"/>
          <w:szCs w:val="24"/>
          <w:lang w:eastAsia="en-US"/>
        </w:rPr>
      </w:pPr>
      <w:r w:rsidRPr="00131C50">
        <w:rPr>
          <w:rFonts w:ascii="Arial" w:eastAsia="Times New Roman" w:hAnsi="Arial" w:cs="Arial"/>
          <w:color w:val="000000" w:themeColor="text1"/>
          <w:sz w:val="24"/>
          <w:szCs w:val="24"/>
          <w:lang w:eastAsia="en-US"/>
        </w:rPr>
        <w:t xml:space="preserve">The substantive legal standard for the demonstration of a “public body” is satisfied by establishing that an </w:t>
      </w:r>
      <w:r w:rsidRPr="00131C50">
        <w:rPr>
          <w:rFonts w:ascii="Arial" w:eastAsia="Times New Roman" w:hAnsi="Arial" w:cs="Arial"/>
          <w:i/>
          <w:iCs/>
          <w:color w:val="000000" w:themeColor="text1"/>
          <w:sz w:val="24"/>
          <w:szCs w:val="24"/>
          <w:lang w:eastAsia="en-US"/>
        </w:rPr>
        <w:t xml:space="preserve">entity </w:t>
      </w:r>
      <w:r w:rsidRPr="00131C50">
        <w:rPr>
          <w:rFonts w:ascii="Arial" w:hAnsi="Arial" w:cs="Arial"/>
          <w:i/>
          <w:iCs/>
          <w:color w:val="000000" w:themeColor="text1"/>
          <w:sz w:val="24"/>
          <w:szCs w:val="24"/>
        </w:rPr>
        <w:t>possesses, exercises or is vested with governmental authority</w:t>
      </w:r>
      <w:r w:rsidRPr="00131C50">
        <w:rPr>
          <w:rFonts w:ascii="Arial" w:hAnsi="Arial" w:cs="Arial"/>
          <w:color w:val="000000" w:themeColor="text1"/>
          <w:sz w:val="24"/>
          <w:szCs w:val="24"/>
        </w:rPr>
        <w:t>. This standard is met only if one of these characteristics exist as regards the public body in question;</w:t>
      </w:r>
    </w:p>
    <w:p w14:paraId="173019E0" w14:textId="77777777" w:rsidR="00EE04E3" w:rsidRPr="00131C50" w:rsidRDefault="00EE04E3" w:rsidP="00EE04E3">
      <w:pPr>
        <w:pStyle w:val="a9"/>
        <w:numPr>
          <w:ilvl w:val="0"/>
          <w:numId w:val="3"/>
        </w:numPr>
        <w:autoSpaceDE w:val="0"/>
        <w:autoSpaceDN w:val="0"/>
        <w:adjustRightInd w:val="0"/>
        <w:contextualSpacing w:val="0"/>
        <w:rPr>
          <w:rFonts w:ascii="Arial" w:eastAsia="Times New Roman" w:hAnsi="Arial" w:cs="Arial"/>
          <w:sz w:val="24"/>
          <w:szCs w:val="24"/>
          <w:lang w:eastAsia="en-US"/>
        </w:rPr>
      </w:pPr>
      <w:r w:rsidRPr="00131C50">
        <w:rPr>
          <w:rFonts w:ascii="Arial" w:eastAsia="Times New Roman" w:hAnsi="Arial" w:cs="Arial"/>
          <w:sz w:val="24"/>
          <w:szCs w:val="24"/>
          <w:lang w:eastAsia="en-US"/>
        </w:rPr>
        <w:t xml:space="preserve">An evidentiary standard further applies to establish the substantive legal standard and the evidentiary standard cannot be met by mere statements; </w:t>
      </w:r>
    </w:p>
    <w:p w14:paraId="2B5D5C8D" w14:textId="77777777" w:rsidR="00EE04E3" w:rsidRPr="00131C50" w:rsidRDefault="00EE04E3" w:rsidP="00EE04E3">
      <w:pPr>
        <w:pStyle w:val="a9"/>
        <w:numPr>
          <w:ilvl w:val="0"/>
          <w:numId w:val="3"/>
        </w:numPr>
        <w:autoSpaceDE w:val="0"/>
        <w:autoSpaceDN w:val="0"/>
        <w:adjustRightInd w:val="0"/>
        <w:contextualSpacing w:val="0"/>
        <w:rPr>
          <w:rFonts w:ascii="Arial" w:eastAsia="Times New Roman" w:hAnsi="Arial" w:cs="Arial"/>
          <w:sz w:val="24"/>
          <w:szCs w:val="24"/>
          <w:lang w:eastAsia="en-US"/>
        </w:rPr>
      </w:pPr>
      <w:r w:rsidRPr="00131C50">
        <w:rPr>
          <w:rFonts w:ascii="Arial" w:eastAsia="Times New Roman" w:hAnsi="Arial" w:cs="Arial"/>
          <w:sz w:val="24"/>
          <w:szCs w:val="24"/>
          <w:lang w:eastAsia="en-US"/>
        </w:rPr>
        <w:t>In addition to government ownership, meaningful control over an entity by a government does not make an entity a public body. The Appellate Body noted that the Indian government’s</w:t>
      </w:r>
      <w:r w:rsidRPr="00131C50">
        <w:rPr>
          <w:rFonts w:ascii="Arial" w:hAnsi="Arial" w:cs="Arial"/>
          <w:sz w:val="24"/>
          <w:szCs w:val="24"/>
        </w:rPr>
        <w:t xml:space="preserve"> ability to control the </w:t>
      </w:r>
      <w:r w:rsidRPr="00131C50">
        <w:rPr>
          <w:rFonts w:ascii="Arial" w:hAnsi="Arial" w:cs="Arial"/>
          <w:iCs/>
          <w:sz w:val="24"/>
          <w:szCs w:val="24"/>
        </w:rPr>
        <w:t xml:space="preserve">National Mining Development Corporation [“NMDC”] </w:t>
      </w:r>
      <w:r w:rsidRPr="00131C50">
        <w:rPr>
          <w:rFonts w:ascii="Arial" w:hAnsi="Arial" w:cs="Arial"/>
          <w:sz w:val="24"/>
          <w:szCs w:val="24"/>
        </w:rPr>
        <w:t>on account of shareholding and the fact that NMDC was under the administrative control of the Indian government was not determinative of whether NMDC constituted a public body;</w:t>
      </w:r>
    </w:p>
    <w:p w14:paraId="37B44D36" w14:textId="77777777" w:rsidR="00EE04E3" w:rsidRPr="00131C50" w:rsidRDefault="00EE04E3" w:rsidP="00EE04E3">
      <w:pPr>
        <w:pStyle w:val="a9"/>
        <w:numPr>
          <w:ilvl w:val="0"/>
          <w:numId w:val="3"/>
        </w:numPr>
        <w:autoSpaceDE w:val="0"/>
        <w:autoSpaceDN w:val="0"/>
        <w:adjustRightInd w:val="0"/>
        <w:contextualSpacing w:val="0"/>
        <w:rPr>
          <w:rFonts w:ascii="Arial" w:eastAsia="Times New Roman" w:hAnsi="Arial" w:cs="Arial"/>
          <w:sz w:val="24"/>
          <w:szCs w:val="24"/>
          <w:lang w:eastAsia="en-US"/>
        </w:rPr>
      </w:pPr>
      <w:r w:rsidRPr="00131C50">
        <w:rPr>
          <w:rFonts w:ascii="Arial" w:hAnsi="Arial" w:cs="Arial"/>
          <w:sz w:val="24"/>
          <w:szCs w:val="24"/>
        </w:rPr>
        <w:t>Whether the conduct of an entity is that of a public body must in each case be determined on its own merits, with due regard to the core characteristics and functions of the relevant entity, its relationship with the government, and the legal and economic environment prevailing in the country in which the investigated entity operates.</w:t>
      </w:r>
    </w:p>
    <w:p w14:paraId="1B02EF1B" w14:textId="77777777" w:rsidR="00EE04E3" w:rsidRPr="00131C50" w:rsidRDefault="00EE04E3" w:rsidP="00EE04E3">
      <w:pPr>
        <w:autoSpaceDE w:val="0"/>
        <w:autoSpaceDN w:val="0"/>
        <w:adjustRightInd w:val="0"/>
        <w:ind w:left="720"/>
        <w:rPr>
          <w:rFonts w:ascii="Arial" w:eastAsia="Times New Roman" w:hAnsi="Arial" w:cs="Arial"/>
          <w:sz w:val="24"/>
          <w:szCs w:val="24"/>
          <w:lang w:eastAsia="en-US"/>
        </w:rPr>
      </w:pPr>
    </w:p>
    <w:p w14:paraId="5A9B9428" w14:textId="77777777" w:rsidR="00EE04E3" w:rsidRPr="00131C50" w:rsidRDefault="00EE04E3" w:rsidP="00EE04E3">
      <w:pPr>
        <w:pStyle w:val="a9"/>
        <w:numPr>
          <w:ilvl w:val="0"/>
          <w:numId w:val="40"/>
        </w:numPr>
        <w:autoSpaceDE w:val="0"/>
        <w:autoSpaceDN w:val="0"/>
        <w:adjustRightInd w:val="0"/>
        <w:ind w:left="720" w:hanging="720"/>
        <w:contextualSpacing w:val="0"/>
        <w:rPr>
          <w:rFonts w:ascii="Arial" w:eastAsia="Times New Roman" w:hAnsi="Arial" w:cs="Arial"/>
          <w:sz w:val="24"/>
          <w:szCs w:val="24"/>
          <w:lang w:eastAsia="en-US"/>
        </w:rPr>
      </w:pPr>
      <w:r w:rsidRPr="00131C50">
        <w:rPr>
          <w:rFonts w:ascii="Arial" w:eastAsia="Times New Roman" w:hAnsi="Arial" w:cs="Arial"/>
          <w:sz w:val="24"/>
          <w:szCs w:val="24"/>
          <w:lang w:eastAsia="en-US"/>
        </w:rPr>
        <w:t xml:space="preserve">The Appellate Body in </w:t>
      </w:r>
      <w:r w:rsidRPr="00131C50">
        <w:rPr>
          <w:rFonts w:ascii="Arial" w:eastAsia="Times New Roman" w:hAnsi="Arial" w:cs="Arial"/>
          <w:i/>
          <w:sz w:val="24"/>
          <w:szCs w:val="24"/>
          <w:lang w:eastAsia="en-US"/>
        </w:rPr>
        <w:t xml:space="preserve">US </w:t>
      </w:r>
      <w:r w:rsidRPr="00131C50">
        <w:rPr>
          <w:rFonts w:ascii="Arial" w:hAnsi="Arial" w:cs="Arial"/>
          <w:i/>
          <w:sz w:val="24"/>
          <w:szCs w:val="24"/>
        </w:rPr>
        <w:t>–</w:t>
      </w:r>
      <w:r w:rsidRPr="00131C50">
        <w:rPr>
          <w:rFonts w:ascii="Arial" w:eastAsia="Times New Roman" w:hAnsi="Arial" w:cs="Arial"/>
          <w:i/>
          <w:sz w:val="24"/>
          <w:szCs w:val="24"/>
          <w:lang w:eastAsia="en-US"/>
        </w:rPr>
        <w:t xml:space="preserve"> Carbon Steel (India)</w:t>
      </w:r>
      <w:r w:rsidRPr="00131C50">
        <w:rPr>
          <w:rFonts w:ascii="Arial" w:eastAsia="Times New Roman" w:hAnsi="Arial" w:cs="Arial"/>
          <w:sz w:val="24"/>
          <w:szCs w:val="24"/>
          <w:lang w:eastAsia="en-US"/>
        </w:rPr>
        <w:t xml:space="preserve"> explained the above points as follows:</w:t>
      </w:r>
    </w:p>
    <w:p w14:paraId="1D8FA8F6" w14:textId="77777777" w:rsidR="00EE04E3" w:rsidRPr="00131C50" w:rsidRDefault="00EE04E3" w:rsidP="00EE04E3">
      <w:pPr>
        <w:autoSpaceDE w:val="0"/>
        <w:autoSpaceDN w:val="0"/>
        <w:adjustRightInd w:val="0"/>
        <w:ind w:left="1440"/>
        <w:rPr>
          <w:rFonts w:ascii="Arial" w:hAnsi="Arial" w:cs="Arial"/>
          <w:sz w:val="24"/>
          <w:szCs w:val="24"/>
        </w:rPr>
      </w:pPr>
      <w:r w:rsidRPr="00131C50">
        <w:rPr>
          <w:rFonts w:ascii="Arial" w:hAnsi="Arial" w:cs="Arial"/>
          <w:i/>
          <w:sz w:val="24"/>
          <w:szCs w:val="24"/>
        </w:rPr>
        <w:lastRenderedPageBreak/>
        <w:t xml:space="preserve">“The Appellate Body has explained that the term public body in Article 1.1(a)(1) of the SCM Agreement means "an entity that possesses, exercises or is vested with governmental authority". The </w:t>
      </w:r>
      <w:r w:rsidRPr="00131C50">
        <w:rPr>
          <w:rFonts w:ascii="Arial" w:hAnsi="Arial" w:cs="Arial"/>
          <w:i/>
          <w:iCs/>
          <w:sz w:val="24"/>
          <w:szCs w:val="24"/>
        </w:rPr>
        <w:t xml:space="preserve">substantive legal question </w:t>
      </w:r>
      <w:r w:rsidRPr="00131C50">
        <w:rPr>
          <w:rFonts w:ascii="Arial" w:hAnsi="Arial" w:cs="Arial"/>
          <w:i/>
          <w:sz w:val="24"/>
          <w:szCs w:val="24"/>
        </w:rPr>
        <w:t xml:space="preserve">to be answered is therefore whether one or more of these characteristics exist in a particular case. This </w:t>
      </w:r>
      <w:r w:rsidRPr="00131C50">
        <w:rPr>
          <w:rFonts w:ascii="Arial" w:hAnsi="Arial" w:cs="Arial"/>
          <w:i/>
          <w:iCs/>
          <w:sz w:val="24"/>
          <w:szCs w:val="24"/>
        </w:rPr>
        <w:t xml:space="preserve">substantive standard </w:t>
      </w:r>
      <w:r w:rsidRPr="00131C50">
        <w:rPr>
          <w:rFonts w:ascii="Arial" w:hAnsi="Arial" w:cs="Arial"/>
          <w:i/>
          <w:sz w:val="24"/>
          <w:szCs w:val="24"/>
        </w:rPr>
        <w:t xml:space="preserve">should not be confused with the </w:t>
      </w:r>
      <w:r w:rsidRPr="00131C50">
        <w:rPr>
          <w:rFonts w:ascii="Arial" w:hAnsi="Arial" w:cs="Arial"/>
          <w:i/>
          <w:iCs/>
          <w:sz w:val="24"/>
          <w:szCs w:val="24"/>
        </w:rPr>
        <w:t xml:space="preserve">evidentiary standard </w:t>
      </w:r>
      <w:r w:rsidRPr="00131C50">
        <w:rPr>
          <w:rFonts w:ascii="Arial" w:hAnsi="Arial" w:cs="Arial"/>
          <w:i/>
          <w:sz w:val="24"/>
          <w:szCs w:val="24"/>
        </w:rPr>
        <w:t xml:space="preserve">required to establish that an entity is a public body within the meaning of the SCM Agreement. Although the Panel quoted extensively from the Appellate Body report in </w:t>
      </w:r>
      <w:r w:rsidRPr="00131C50">
        <w:rPr>
          <w:rFonts w:ascii="Arial" w:hAnsi="Arial" w:cs="Arial"/>
          <w:i/>
          <w:iCs/>
          <w:sz w:val="24"/>
          <w:szCs w:val="24"/>
        </w:rPr>
        <w:t>US – Anti-Dumping and Countervailing Duties (China)</w:t>
      </w:r>
      <w:r w:rsidRPr="00131C50">
        <w:rPr>
          <w:rFonts w:ascii="Arial" w:hAnsi="Arial" w:cs="Arial"/>
          <w:i/>
          <w:sz w:val="24"/>
          <w:szCs w:val="24"/>
        </w:rPr>
        <w:t xml:space="preserve">, it appears to have blurred the distinction drawn by the Appellate Body in that report between the </w:t>
      </w:r>
      <w:r w:rsidRPr="00131C50">
        <w:rPr>
          <w:rFonts w:ascii="Arial" w:hAnsi="Arial" w:cs="Arial"/>
          <w:i/>
          <w:iCs/>
          <w:sz w:val="24"/>
          <w:szCs w:val="24"/>
        </w:rPr>
        <w:t xml:space="preserve">existence </w:t>
      </w:r>
      <w:r w:rsidRPr="00131C50">
        <w:rPr>
          <w:rFonts w:ascii="Arial" w:hAnsi="Arial" w:cs="Arial"/>
          <w:i/>
          <w:sz w:val="24"/>
          <w:szCs w:val="24"/>
        </w:rPr>
        <w:t xml:space="preserve">of control by a government over an entity, on the one hand, and "meaningful control", on the other hand. Thus, the Panel did not analyse, in our view, the question of whether the GOI in fact </w:t>
      </w:r>
      <w:r w:rsidRPr="00131C50">
        <w:rPr>
          <w:rFonts w:ascii="Arial" w:hAnsi="Arial" w:cs="Arial"/>
          <w:i/>
          <w:iCs/>
          <w:sz w:val="24"/>
          <w:szCs w:val="24"/>
        </w:rPr>
        <w:t xml:space="preserve">exercised </w:t>
      </w:r>
      <w:r w:rsidRPr="00131C50">
        <w:rPr>
          <w:rFonts w:ascii="Arial" w:hAnsi="Arial" w:cs="Arial"/>
          <w:i/>
          <w:sz w:val="24"/>
          <w:szCs w:val="24"/>
        </w:rPr>
        <w:t>control over the NMDC and its conduct. Nor did the Panel assess whether the USDOC had properly established that the NMDC "possesses, exercises or is vested with governmental authority", and is therefore a public body</w:t>
      </w:r>
      <w:r w:rsidRPr="00131C50">
        <w:rPr>
          <w:rFonts w:ascii="Arial" w:hAnsi="Arial" w:cs="Arial"/>
          <w:sz w:val="24"/>
          <w:szCs w:val="24"/>
        </w:rPr>
        <w:t>.”</w:t>
      </w:r>
      <w:r w:rsidRPr="00131C50">
        <w:rPr>
          <w:rStyle w:val="ab"/>
          <w:rFonts w:ascii="Arial" w:hAnsi="Arial" w:cs="Arial"/>
          <w:sz w:val="24"/>
          <w:szCs w:val="24"/>
        </w:rPr>
        <w:footnoteReference w:id="64"/>
      </w:r>
      <w:r w:rsidRPr="00131C50">
        <w:rPr>
          <w:rFonts w:ascii="Arial" w:hAnsi="Arial" w:cs="Arial"/>
          <w:sz w:val="24"/>
          <w:szCs w:val="24"/>
        </w:rPr>
        <w:t xml:space="preserve"> </w:t>
      </w:r>
    </w:p>
    <w:p w14:paraId="2B51A475" w14:textId="77777777" w:rsidR="00EE04E3" w:rsidRPr="00131C50" w:rsidRDefault="00EE04E3" w:rsidP="00EE04E3">
      <w:pPr>
        <w:autoSpaceDE w:val="0"/>
        <w:autoSpaceDN w:val="0"/>
        <w:adjustRightInd w:val="0"/>
        <w:ind w:left="1440"/>
        <w:rPr>
          <w:rFonts w:ascii="Arial" w:eastAsia="Times New Roman" w:hAnsi="Arial" w:cs="Arial"/>
          <w:sz w:val="24"/>
          <w:szCs w:val="24"/>
          <w:lang w:eastAsia="en-US"/>
        </w:rPr>
      </w:pPr>
    </w:p>
    <w:p w14:paraId="761EF418" w14:textId="77777777" w:rsidR="00EE04E3" w:rsidRPr="00131C50" w:rsidRDefault="00EE04E3" w:rsidP="00EE04E3">
      <w:pPr>
        <w:pStyle w:val="a9"/>
        <w:numPr>
          <w:ilvl w:val="0"/>
          <w:numId w:val="40"/>
        </w:numPr>
        <w:autoSpaceDE w:val="0"/>
        <w:autoSpaceDN w:val="0"/>
        <w:adjustRightInd w:val="0"/>
        <w:ind w:left="720" w:hanging="720"/>
        <w:contextualSpacing w:val="0"/>
        <w:rPr>
          <w:rFonts w:ascii="Arial" w:hAnsi="Arial" w:cs="Arial"/>
          <w:sz w:val="24"/>
          <w:szCs w:val="24"/>
        </w:rPr>
      </w:pPr>
      <w:r w:rsidRPr="00131C50">
        <w:rPr>
          <w:rFonts w:ascii="Arial" w:eastAsia="Times New Roman" w:hAnsi="Arial" w:cs="Arial"/>
          <w:sz w:val="24"/>
          <w:szCs w:val="24"/>
          <w:lang w:eastAsia="en-US"/>
        </w:rPr>
        <w:t xml:space="preserve">The above criteria for establishing the existence of a public body were also upheld by the Appellate Body in </w:t>
      </w:r>
      <w:r w:rsidRPr="00131C50">
        <w:rPr>
          <w:rFonts w:ascii="Arial" w:eastAsia="Times New Roman" w:hAnsi="Arial" w:cs="Arial"/>
          <w:i/>
          <w:sz w:val="24"/>
          <w:szCs w:val="24"/>
          <w:lang w:eastAsia="en-US"/>
        </w:rPr>
        <w:t xml:space="preserve">US </w:t>
      </w:r>
      <w:r w:rsidRPr="00131C50">
        <w:rPr>
          <w:rFonts w:ascii="Arial" w:hAnsi="Arial" w:cs="Arial"/>
          <w:i/>
          <w:sz w:val="24"/>
          <w:szCs w:val="24"/>
        </w:rPr>
        <w:t>– Countervailing Measures</w:t>
      </w:r>
      <w:r w:rsidRPr="00131C50">
        <w:rPr>
          <w:rFonts w:ascii="Arial" w:eastAsia="Times New Roman" w:hAnsi="Arial" w:cs="Arial"/>
          <w:i/>
          <w:sz w:val="24"/>
          <w:szCs w:val="24"/>
          <w:lang w:eastAsia="en-US"/>
        </w:rPr>
        <w:t xml:space="preserve"> (China) (Article 21.5).</w:t>
      </w:r>
      <w:r w:rsidRPr="00131C50">
        <w:rPr>
          <w:rStyle w:val="ab"/>
          <w:rFonts w:ascii="Arial" w:eastAsia="Times New Roman" w:hAnsi="Arial" w:cs="Arial"/>
          <w:iCs/>
          <w:sz w:val="24"/>
          <w:szCs w:val="24"/>
          <w:lang w:eastAsia="en-US"/>
        </w:rPr>
        <w:footnoteReference w:id="65"/>
      </w:r>
    </w:p>
    <w:p w14:paraId="1C872386" w14:textId="77777777" w:rsidR="00EE04E3" w:rsidRPr="00DB4D2B" w:rsidRDefault="00EE04E3" w:rsidP="00EE04E3">
      <w:pPr>
        <w:pStyle w:val="a9"/>
        <w:autoSpaceDE w:val="0"/>
        <w:autoSpaceDN w:val="0"/>
        <w:adjustRightInd w:val="0"/>
        <w:contextualSpacing w:val="0"/>
        <w:rPr>
          <w:rFonts w:ascii="Arial" w:hAnsi="Arial" w:cs="Arial"/>
          <w:sz w:val="24"/>
          <w:szCs w:val="24"/>
        </w:rPr>
      </w:pPr>
    </w:p>
    <w:p w14:paraId="076A8740" w14:textId="77777777" w:rsidR="00EE04E3" w:rsidRPr="00131C50" w:rsidRDefault="00EE04E3" w:rsidP="00EE04E3">
      <w:pPr>
        <w:pStyle w:val="a9"/>
        <w:numPr>
          <w:ilvl w:val="0"/>
          <w:numId w:val="40"/>
        </w:numPr>
        <w:autoSpaceDE w:val="0"/>
        <w:autoSpaceDN w:val="0"/>
        <w:adjustRightInd w:val="0"/>
        <w:ind w:left="720" w:hanging="720"/>
        <w:contextualSpacing w:val="0"/>
        <w:rPr>
          <w:rFonts w:ascii="Arial" w:hAnsi="Arial" w:cs="Arial"/>
          <w:sz w:val="24"/>
          <w:szCs w:val="24"/>
        </w:rPr>
      </w:pPr>
      <w:r w:rsidRPr="00131C50">
        <w:rPr>
          <w:rFonts w:ascii="Arial" w:eastAsia="Times New Roman" w:hAnsi="Arial" w:cs="Arial"/>
          <w:sz w:val="24"/>
          <w:szCs w:val="24"/>
          <w:lang w:eastAsia="en-US"/>
        </w:rPr>
        <w:t>Applying the above criteria, according to the Appellate Body</w:t>
      </w:r>
      <w:r w:rsidRPr="00131C50">
        <w:rPr>
          <w:rFonts w:ascii="Arial" w:hAnsi="Arial" w:cs="Arial"/>
          <w:sz w:val="24"/>
          <w:szCs w:val="24"/>
        </w:rPr>
        <w:t xml:space="preserve"> in </w:t>
      </w:r>
      <w:r w:rsidRPr="00131C50">
        <w:rPr>
          <w:rFonts w:ascii="Arial" w:hAnsi="Arial" w:cs="Arial"/>
          <w:i/>
          <w:sz w:val="24"/>
          <w:szCs w:val="24"/>
        </w:rPr>
        <w:t>US – Carbon Steel (India)</w:t>
      </w:r>
      <w:r w:rsidRPr="00131C50">
        <w:rPr>
          <w:rFonts w:ascii="Arial" w:eastAsia="Times New Roman" w:hAnsi="Arial" w:cs="Arial"/>
          <w:sz w:val="24"/>
          <w:szCs w:val="24"/>
          <w:lang w:eastAsia="en-US"/>
        </w:rPr>
        <w:t xml:space="preserve">, the </w:t>
      </w:r>
      <w:r w:rsidRPr="00131C50">
        <w:rPr>
          <w:rFonts w:ascii="Arial" w:hAnsi="Arial" w:cs="Arial"/>
          <w:sz w:val="24"/>
          <w:szCs w:val="24"/>
        </w:rPr>
        <w:t>Panel in that case had specifically erred in the application of Article 1.1(a)(1) of the SCM Agreement to the USDOC’s public body determination in the underlying investigation</w:t>
      </w:r>
      <w:r>
        <w:rPr>
          <w:rFonts w:ascii="Arial" w:hAnsi="Arial" w:cs="Arial"/>
          <w:sz w:val="24"/>
          <w:szCs w:val="24"/>
        </w:rPr>
        <w:t xml:space="preserve"> by</w:t>
      </w:r>
      <w:r w:rsidRPr="00131C50">
        <w:rPr>
          <w:rFonts w:ascii="Arial" w:hAnsi="Arial" w:cs="Arial"/>
          <w:sz w:val="24"/>
          <w:szCs w:val="24"/>
        </w:rPr>
        <w:t xml:space="preserve"> </w:t>
      </w:r>
      <w:r w:rsidRPr="00684EA5">
        <w:rPr>
          <w:rFonts w:ascii="Arial" w:hAnsi="Arial" w:cs="Arial"/>
          <w:iCs/>
          <w:sz w:val="24"/>
          <w:szCs w:val="24"/>
        </w:rPr>
        <w:t>“</w:t>
      </w:r>
      <w:r w:rsidRPr="00131C50">
        <w:rPr>
          <w:rFonts w:ascii="Arial" w:hAnsi="Arial" w:cs="Arial"/>
          <w:i/>
          <w:sz w:val="24"/>
          <w:szCs w:val="24"/>
          <w:u w:val="single"/>
        </w:rPr>
        <w:t xml:space="preserve">treating the </w:t>
      </w:r>
      <w:r>
        <w:rPr>
          <w:rFonts w:ascii="Arial" w:hAnsi="Arial" w:cs="Arial"/>
          <w:i/>
          <w:sz w:val="24"/>
          <w:szCs w:val="24"/>
          <w:u w:val="single"/>
        </w:rPr>
        <w:t>GOI’s</w:t>
      </w:r>
      <w:r w:rsidRPr="00131C50">
        <w:rPr>
          <w:rFonts w:ascii="Arial" w:hAnsi="Arial" w:cs="Arial"/>
          <w:i/>
          <w:sz w:val="24"/>
          <w:szCs w:val="24"/>
          <w:u w:val="single"/>
        </w:rPr>
        <w:t xml:space="preserve"> ability to control the NMDC as determinative for purposes of establishing whether the NMDC constitutes a public body</w:t>
      </w:r>
      <w:r w:rsidRPr="00131C50">
        <w:rPr>
          <w:rFonts w:ascii="Arial" w:hAnsi="Arial" w:cs="Arial"/>
          <w:i/>
          <w:sz w:val="24"/>
          <w:szCs w:val="24"/>
        </w:rPr>
        <w:t>.</w:t>
      </w:r>
      <w:r w:rsidRPr="00131C50">
        <w:rPr>
          <w:rFonts w:ascii="Arial" w:hAnsi="Arial" w:cs="Arial"/>
          <w:iCs/>
          <w:sz w:val="24"/>
          <w:szCs w:val="24"/>
        </w:rPr>
        <w:t>”</w:t>
      </w:r>
      <w:r w:rsidRPr="00131C50">
        <w:rPr>
          <w:rStyle w:val="ab"/>
          <w:rFonts w:ascii="Arial" w:hAnsi="Arial" w:cs="Arial"/>
          <w:sz w:val="24"/>
          <w:szCs w:val="24"/>
        </w:rPr>
        <w:footnoteReference w:id="66"/>
      </w:r>
      <w:r w:rsidRPr="00131C50">
        <w:rPr>
          <w:rFonts w:ascii="Arial" w:hAnsi="Arial" w:cs="Arial"/>
          <w:i/>
          <w:sz w:val="24"/>
          <w:szCs w:val="24"/>
        </w:rPr>
        <w:t xml:space="preserve"> </w:t>
      </w:r>
      <w:r w:rsidRPr="00131C50">
        <w:rPr>
          <w:rFonts w:ascii="Arial" w:hAnsi="Arial" w:cs="Arial"/>
          <w:iCs/>
          <w:sz w:val="24"/>
          <w:szCs w:val="24"/>
        </w:rPr>
        <w:t xml:space="preserve"> The Appellate Body in that case also held that the fact that </w:t>
      </w:r>
      <w:r w:rsidRPr="00131C50">
        <w:rPr>
          <w:rFonts w:ascii="Arial" w:hAnsi="Arial" w:cs="Arial"/>
          <w:sz w:val="24"/>
          <w:szCs w:val="24"/>
        </w:rPr>
        <w:t>the Government of India’s ownership interest in</w:t>
      </w:r>
      <w:r w:rsidRPr="00131C50">
        <w:rPr>
          <w:rFonts w:ascii="Arial" w:hAnsi="Arial" w:cs="Arial"/>
          <w:iCs/>
          <w:sz w:val="24"/>
          <w:szCs w:val="24"/>
        </w:rPr>
        <w:t xml:space="preserve"> NMDC, </w:t>
      </w:r>
      <w:r w:rsidRPr="00131C50">
        <w:rPr>
          <w:rFonts w:ascii="Arial" w:hAnsi="Arial" w:cs="Arial"/>
          <w:sz w:val="24"/>
          <w:szCs w:val="24"/>
        </w:rPr>
        <w:t xml:space="preserve">the </w:t>
      </w:r>
      <w:r w:rsidRPr="00131C50">
        <w:rPr>
          <w:rFonts w:ascii="Arial" w:hAnsi="Arial" w:cs="Arial"/>
          <w:sz w:val="24"/>
          <w:szCs w:val="24"/>
        </w:rPr>
        <w:lastRenderedPageBreak/>
        <w:t>Government of India’s power to appoint and nominate the directors of NMDC and the reference on the NMDC’s website indicating that it is under the “administrative control” of the Government of India, did not provide a sufficient basis for finding the NMDC to be a public body.</w:t>
      </w:r>
      <w:r w:rsidRPr="00131C50">
        <w:rPr>
          <w:rStyle w:val="ab"/>
          <w:rFonts w:ascii="Arial" w:hAnsi="Arial" w:cs="Arial"/>
          <w:sz w:val="24"/>
          <w:szCs w:val="24"/>
        </w:rPr>
        <w:footnoteReference w:id="67"/>
      </w:r>
    </w:p>
    <w:p w14:paraId="1CD3653D" w14:textId="77777777" w:rsidR="00EE04E3" w:rsidRPr="00131C50" w:rsidRDefault="00EE04E3" w:rsidP="00EE04E3">
      <w:pPr>
        <w:pStyle w:val="a9"/>
        <w:autoSpaceDE w:val="0"/>
        <w:autoSpaceDN w:val="0"/>
        <w:adjustRightInd w:val="0"/>
        <w:ind w:hanging="720"/>
        <w:contextualSpacing w:val="0"/>
        <w:rPr>
          <w:rFonts w:ascii="Arial" w:hAnsi="Arial" w:cs="Arial"/>
          <w:sz w:val="24"/>
          <w:szCs w:val="24"/>
        </w:rPr>
      </w:pPr>
    </w:p>
    <w:p w14:paraId="09E7C4AE" w14:textId="39F7175E" w:rsidR="00EE04E3" w:rsidRPr="00541F2A" w:rsidRDefault="00EE04E3" w:rsidP="00EE04E3">
      <w:pPr>
        <w:pStyle w:val="a9"/>
        <w:numPr>
          <w:ilvl w:val="0"/>
          <w:numId w:val="39"/>
        </w:numPr>
        <w:autoSpaceDE w:val="0"/>
        <w:autoSpaceDN w:val="0"/>
        <w:adjustRightInd w:val="0"/>
        <w:ind w:left="720" w:hanging="720"/>
        <w:contextualSpacing w:val="0"/>
        <w:rPr>
          <w:rFonts w:ascii="Arial" w:eastAsia="Times New Roman" w:hAnsi="Arial" w:cs="Arial"/>
          <w:sz w:val="24"/>
          <w:szCs w:val="24"/>
          <w:lang w:eastAsia="en-US"/>
        </w:rPr>
      </w:pPr>
      <w:r w:rsidRPr="00131C50">
        <w:rPr>
          <w:rFonts w:ascii="Arial" w:eastAsia="Times New Roman" w:hAnsi="Arial" w:cs="Arial"/>
          <w:sz w:val="24"/>
          <w:szCs w:val="24"/>
          <w:lang w:eastAsia="en-US"/>
        </w:rPr>
        <w:t xml:space="preserve">Seen in this context, </w:t>
      </w:r>
      <w:r w:rsidR="00F23654">
        <w:rPr>
          <w:rFonts w:ascii="Arial" w:hAnsi="Arial" w:cs="Arial" w:hint="eastAsia"/>
          <w:sz w:val="24"/>
          <w:szCs w:val="24"/>
        </w:rPr>
        <w:t xml:space="preserve">the GOC submits that the merely indicating the two key Chinses </w:t>
      </w:r>
      <w:r w:rsidR="00F23654">
        <w:rPr>
          <w:rFonts w:ascii="Arial" w:hAnsi="Arial" w:cs="Arial"/>
          <w:sz w:val="24"/>
          <w:szCs w:val="24"/>
        </w:rPr>
        <w:t>transportation</w:t>
      </w:r>
      <w:r w:rsidR="00F23654">
        <w:rPr>
          <w:rFonts w:ascii="Arial" w:hAnsi="Arial" w:cs="Arial" w:hint="eastAsia"/>
          <w:sz w:val="24"/>
          <w:szCs w:val="24"/>
        </w:rPr>
        <w:t xml:space="preserve"> companies being SOEs</w:t>
      </w:r>
      <w:r w:rsidRPr="00131C50">
        <w:rPr>
          <w:rFonts w:ascii="Arial" w:eastAsia="Times New Roman" w:hAnsi="Arial" w:cs="Arial"/>
          <w:sz w:val="24"/>
          <w:szCs w:val="24"/>
          <w:lang w:eastAsia="en-US"/>
        </w:rPr>
        <w:t xml:space="preserve">, </w:t>
      </w:r>
      <w:r w:rsidRPr="00131C50">
        <w:rPr>
          <w:rFonts w:ascii="Arial" w:hAnsi="Arial" w:cs="Arial"/>
          <w:sz w:val="24"/>
          <w:szCs w:val="24"/>
        </w:rPr>
        <w:t xml:space="preserve">did not evaluate the relationship between the alleged </w:t>
      </w:r>
      <w:r w:rsidR="00F23654">
        <w:rPr>
          <w:rFonts w:ascii="Arial" w:hAnsi="Arial" w:cs="Arial" w:hint="eastAsia"/>
          <w:sz w:val="24"/>
          <w:szCs w:val="24"/>
        </w:rPr>
        <w:t>transportation companies</w:t>
      </w:r>
      <w:r w:rsidRPr="00131C50">
        <w:rPr>
          <w:rFonts w:ascii="Arial" w:hAnsi="Arial" w:cs="Arial"/>
          <w:sz w:val="24"/>
          <w:szCs w:val="24"/>
        </w:rPr>
        <w:t xml:space="preserve"> and the GOC in the Chinese legal order nor the extent to which the GOC in fact exercises/exercised meaningful control over </w:t>
      </w:r>
      <w:r w:rsidR="00F23654">
        <w:rPr>
          <w:rFonts w:ascii="Arial" w:hAnsi="Arial" w:cs="Arial" w:hint="eastAsia"/>
          <w:sz w:val="24"/>
          <w:szCs w:val="24"/>
        </w:rPr>
        <w:t>the transportation companies</w:t>
      </w:r>
      <w:r w:rsidRPr="00131C50">
        <w:rPr>
          <w:rFonts w:ascii="Arial" w:hAnsi="Arial" w:cs="Arial"/>
          <w:sz w:val="24"/>
          <w:szCs w:val="24"/>
        </w:rPr>
        <w:t xml:space="preserve"> and their </w:t>
      </w:r>
      <w:r w:rsidRPr="00131C50">
        <w:rPr>
          <w:rFonts w:ascii="Arial" w:hAnsi="Arial" w:cs="Arial"/>
          <w:iCs/>
          <w:sz w:val="24"/>
          <w:szCs w:val="24"/>
        </w:rPr>
        <w:t>conduct</w:t>
      </w:r>
      <w:r w:rsidRPr="00131C50">
        <w:rPr>
          <w:rFonts w:ascii="Arial" w:hAnsi="Arial" w:cs="Arial"/>
          <w:i/>
          <w:iCs/>
          <w:sz w:val="24"/>
          <w:szCs w:val="24"/>
        </w:rPr>
        <w:t xml:space="preserve"> </w:t>
      </w:r>
      <w:r w:rsidRPr="00131C50">
        <w:rPr>
          <w:rFonts w:ascii="Arial" w:hAnsi="Arial" w:cs="Arial"/>
          <w:sz w:val="24"/>
          <w:szCs w:val="24"/>
        </w:rPr>
        <w:t xml:space="preserve">in support of its assertion that </w:t>
      </w:r>
      <w:r w:rsidR="00F23654">
        <w:rPr>
          <w:rFonts w:ascii="Arial" w:hAnsi="Arial" w:cs="Arial" w:hint="eastAsia"/>
          <w:sz w:val="24"/>
          <w:szCs w:val="24"/>
        </w:rPr>
        <w:t>state-owned transportation companies</w:t>
      </w:r>
      <w:r w:rsidRPr="00131C50">
        <w:rPr>
          <w:rFonts w:ascii="Arial" w:hAnsi="Arial" w:cs="Arial"/>
          <w:sz w:val="24"/>
          <w:szCs w:val="24"/>
        </w:rPr>
        <w:t xml:space="preserve"> are public bodies within the meaning of Article 1.1(a)(1) of the SCM Agreement.</w:t>
      </w:r>
      <w:r w:rsidRPr="00131C50">
        <w:rPr>
          <w:rFonts w:ascii="Arial" w:eastAsia="Times New Roman" w:hAnsi="Arial" w:cs="Arial"/>
          <w:iCs/>
          <w:sz w:val="24"/>
          <w:szCs w:val="24"/>
          <w:lang w:eastAsia="en-US"/>
        </w:rPr>
        <w:t xml:space="preserve"> </w:t>
      </w:r>
      <w:r w:rsidR="00541F2A" w:rsidRPr="00541F2A">
        <w:rPr>
          <w:rFonts w:ascii="Arial" w:eastAsia="Times New Roman" w:hAnsi="Arial" w:cs="Arial"/>
          <w:iCs/>
          <w:sz w:val="24"/>
          <w:szCs w:val="24"/>
          <w:lang w:eastAsia="en-US"/>
        </w:rPr>
        <w:t xml:space="preserve">Chinese State-owned </w:t>
      </w:r>
      <w:r w:rsidR="00541F2A">
        <w:rPr>
          <w:rFonts w:ascii="Arial" w:hAnsi="Arial" w:cs="Arial" w:hint="eastAsia"/>
          <w:iCs/>
          <w:sz w:val="24"/>
          <w:szCs w:val="24"/>
        </w:rPr>
        <w:t>transportation</w:t>
      </w:r>
      <w:r w:rsidR="00541F2A" w:rsidRPr="00541F2A">
        <w:rPr>
          <w:rFonts w:ascii="Arial" w:eastAsia="Times New Roman" w:hAnsi="Arial" w:cs="Arial"/>
          <w:iCs/>
          <w:sz w:val="24"/>
          <w:szCs w:val="24"/>
          <w:lang w:eastAsia="en-US"/>
        </w:rPr>
        <w:t xml:space="preserve"> are not bestowed with governmental authority regardless of their shareholding, as they do not perform any functions which are not usually performed by </w:t>
      </w:r>
      <w:r w:rsidR="00541F2A">
        <w:rPr>
          <w:rFonts w:ascii="Arial" w:hAnsi="Arial" w:cs="Arial" w:hint="eastAsia"/>
          <w:iCs/>
          <w:sz w:val="24"/>
          <w:szCs w:val="24"/>
        </w:rPr>
        <w:t>non-SOEs</w:t>
      </w:r>
      <w:r w:rsidR="00541F2A" w:rsidRPr="00541F2A">
        <w:rPr>
          <w:rFonts w:ascii="Arial" w:eastAsia="Times New Roman" w:hAnsi="Arial" w:cs="Arial"/>
          <w:iCs/>
          <w:sz w:val="24"/>
          <w:szCs w:val="24"/>
          <w:lang w:eastAsia="en-US"/>
        </w:rPr>
        <w:t>.</w:t>
      </w:r>
      <w:r w:rsidR="00F23654">
        <w:rPr>
          <w:rFonts w:ascii="Arial" w:hAnsi="Arial" w:cs="Arial" w:hint="eastAsia"/>
          <w:iCs/>
          <w:sz w:val="24"/>
          <w:szCs w:val="24"/>
        </w:rPr>
        <w:t>T</w:t>
      </w:r>
      <w:r w:rsidRPr="00131C50">
        <w:rPr>
          <w:rFonts w:ascii="Arial" w:hAnsi="Arial" w:cs="Arial"/>
          <w:sz w:val="24"/>
          <w:szCs w:val="24"/>
        </w:rPr>
        <w:t xml:space="preserve">he Appellate Body in </w:t>
      </w:r>
      <w:r w:rsidRPr="00131C50">
        <w:rPr>
          <w:rFonts w:ascii="Arial" w:hAnsi="Arial" w:cs="Arial"/>
          <w:i/>
          <w:iCs/>
          <w:sz w:val="24"/>
          <w:szCs w:val="24"/>
        </w:rPr>
        <w:t>US – Anti-Dumping and Countervailing Duties</w:t>
      </w:r>
      <w:r w:rsidRPr="00131C50">
        <w:rPr>
          <w:rFonts w:ascii="Arial" w:hAnsi="Arial" w:cs="Arial"/>
          <w:sz w:val="24"/>
          <w:szCs w:val="24"/>
        </w:rPr>
        <w:t xml:space="preserve"> also held that an “</w:t>
      </w:r>
      <w:r w:rsidRPr="00131C50">
        <w:rPr>
          <w:rFonts w:ascii="Arial" w:hAnsi="Arial" w:cs="Arial"/>
          <w:i/>
          <w:iCs/>
          <w:sz w:val="24"/>
          <w:szCs w:val="24"/>
        </w:rPr>
        <w:t>investigating authority must, in making its determination, evaluate and give due consideration to all relevant characteristics of the entity and, in reaching its ultimate determination as to how that entity should be characterized, avoid focusing exclusively or unduly on any single characteristic without affording due consideration to others that may be relevant</w:t>
      </w:r>
      <w:r w:rsidRPr="00131C50">
        <w:rPr>
          <w:rFonts w:ascii="Arial" w:hAnsi="Arial" w:cs="Arial"/>
          <w:sz w:val="24"/>
          <w:szCs w:val="24"/>
        </w:rPr>
        <w:t>.”</w:t>
      </w:r>
      <w:r w:rsidRPr="00131C50">
        <w:rPr>
          <w:rStyle w:val="ab"/>
          <w:rFonts w:ascii="Arial" w:hAnsi="Arial" w:cs="Arial"/>
          <w:sz w:val="24"/>
          <w:szCs w:val="24"/>
        </w:rPr>
        <w:footnoteReference w:id="68"/>
      </w:r>
      <w:r w:rsidR="00541F2A" w:rsidRPr="00541F2A">
        <w:t xml:space="preserve"> </w:t>
      </w:r>
    </w:p>
    <w:p w14:paraId="1B710448" w14:textId="77777777" w:rsidR="00EE04E3" w:rsidRPr="00EE04E3" w:rsidRDefault="00EE04E3" w:rsidP="00EE04E3">
      <w:pPr>
        <w:pStyle w:val="a9"/>
        <w:rPr>
          <w:rFonts w:ascii="Arial" w:hAnsi="Arial" w:cs="Arial"/>
          <w:color w:val="000000" w:themeColor="text1"/>
          <w:sz w:val="24"/>
          <w:szCs w:val="24"/>
          <w:lang w:bidi="hi-IN"/>
          <w14:ligatures w14:val="standardContextual"/>
        </w:rPr>
      </w:pPr>
    </w:p>
    <w:p w14:paraId="0A5EE02D" w14:textId="55529262" w:rsidR="00F23654" w:rsidRPr="00F23654" w:rsidRDefault="008260C7" w:rsidP="00C4448F">
      <w:pPr>
        <w:pStyle w:val="a9"/>
        <w:widowControl w:val="0"/>
        <w:numPr>
          <w:ilvl w:val="0"/>
          <w:numId w:val="39"/>
        </w:numPr>
        <w:autoSpaceDE w:val="0"/>
        <w:autoSpaceDN w:val="0"/>
        <w:adjustRightInd w:val="0"/>
        <w:ind w:right="95" w:hanging="644"/>
        <w:contextualSpacing w:val="0"/>
        <w:rPr>
          <w:rFonts w:ascii="Arial" w:hAnsi="Arial" w:cs="Arial"/>
          <w:sz w:val="24"/>
        </w:rPr>
      </w:pPr>
      <w:r w:rsidRPr="00131C50">
        <w:rPr>
          <w:rFonts w:ascii="Arial" w:eastAsia="Times New Roman" w:hAnsi="Arial" w:cs="Arial"/>
          <w:sz w:val="24"/>
          <w:szCs w:val="24"/>
          <w:lang w:eastAsia="en-US"/>
        </w:rPr>
        <w:t>As discussed previously, the Panel ruling in</w:t>
      </w:r>
      <w:r w:rsidRPr="00131C50">
        <w:rPr>
          <w:rFonts w:ascii="Arial" w:eastAsia="Times New Roman" w:hAnsi="Arial" w:cs="Arial"/>
          <w:i/>
          <w:sz w:val="24"/>
          <w:szCs w:val="24"/>
          <w:lang w:eastAsia="en-US"/>
        </w:rPr>
        <w:t xml:space="preserve"> China </w:t>
      </w:r>
      <w:r w:rsidRPr="00131C50">
        <w:rPr>
          <w:rFonts w:ascii="Arial" w:hAnsi="Arial" w:cs="Arial"/>
          <w:i/>
          <w:iCs/>
          <w:color w:val="000000"/>
          <w:sz w:val="24"/>
          <w:szCs w:val="24"/>
          <w:lang w:bidi="hi-IN"/>
        </w:rPr>
        <w:t>–</w:t>
      </w:r>
      <w:r w:rsidRPr="00131C50">
        <w:rPr>
          <w:rFonts w:ascii="Arial" w:eastAsia="Times New Roman" w:hAnsi="Arial" w:cs="Arial"/>
          <w:i/>
          <w:sz w:val="24"/>
          <w:szCs w:val="24"/>
          <w:lang w:eastAsia="en-US"/>
        </w:rPr>
        <w:t xml:space="preserve"> GOES</w:t>
      </w:r>
      <w:r w:rsidRPr="00131C50">
        <w:rPr>
          <w:rFonts w:ascii="Arial" w:eastAsia="Times New Roman" w:hAnsi="Arial" w:cs="Arial"/>
          <w:sz w:val="24"/>
          <w:szCs w:val="24"/>
          <w:lang w:eastAsia="en-US"/>
        </w:rPr>
        <w:t>, does not provide for exceptions or exemptions and a claim of subsidization must be evidenced on the basis of positive evidence and facts. The lack of reasonable availability of information about the possible benefit cannot excuse a complainant</w:t>
      </w:r>
      <w:r w:rsidR="003A55D6">
        <w:rPr>
          <w:rFonts w:ascii="Arial" w:hAnsi="Arial" w:cs="Arial" w:hint="eastAsia"/>
          <w:sz w:val="24"/>
          <w:szCs w:val="24"/>
        </w:rPr>
        <w:t xml:space="preserve"> </w:t>
      </w:r>
      <w:r w:rsidRPr="00131C50">
        <w:rPr>
          <w:rFonts w:ascii="Arial" w:eastAsia="Times New Roman" w:hAnsi="Arial" w:cs="Arial"/>
          <w:sz w:val="24"/>
          <w:szCs w:val="24"/>
          <w:lang w:eastAsia="en-US"/>
        </w:rPr>
        <w:t xml:space="preserve">from the obligation to demonstrate the existence of benefit for the period concerned and with reference to </w:t>
      </w:r>
      <w:r w:rsidR="003A55D6">
        <w:rPr>
          <w:rFonts w:ascii="Arial" w:hAnsi="Arial" w:cs="Arial" w:hint="eastAsia"/>
          <w:sz w:val="24"/>
          <w:szCs w:val="24"/>
        </w:rPr>
        <w:t>Excavator</w:t>
      </w:r>
      <w:r w:rsidRPr="00131C50">
        <w:rPr>
          <w:rFonts w:ascii="Arial" w:eastAsia="Times New Roman" w:hAnsi="Arial" w:cs="Arial"/>
          <w:sz w:val="24"/>
          <w:szCs w:val="24"/>
          <w:lang w:eastAsia="en-US"/>
        </w:rPr>
        <w:t>s.</w:t>
      </w:r>
      <w:r w:rsidRPr="00131C50">
        <w:rPr>
          <w:rStyle w:val="ab"/>
          <w:rFonts w:ascii="Arial" w:eastAsia="Times New Roman" w:hAnsi="Arial" w:cs="Arial"/>
          <w:sz w:val="24"/>
          <w:szCs w:val="24"/>
          <w:lang w:eastAsia="en-US"/>
        </w:rPr>
        <w:footnoteReference w:id="69"/>
      </w:r>
      <w:r w:rsidRPr="00131C50">
        <w:rPr>
          <w:rFonts w:ascii="Arial" w:eastAsia="Times New Roman" w:hAnsi="Arial" w:cs="Arial"/>
          <w:sz w:val="24"/>
          <w:szCs w:val="24"/>
          <w:lang w:eastAsia="en-US"/>
        </w:rPr>
        <w:t xml:space="preserve"> </w:t>
      </w:r>
      <w:r w:rsidR="006512CB" w:rsidRPr="00F23654">
        <w:rPr>
          <w:rFonts w:ascii="Arial" w:hAnsi="Arial" w:cs="Arial"/>
          <w:color w:val="000000" w:themeColor="text1"/>
          <w:sz w:val="24"/>
          <w:szCs w:val="24"/>
          <w:lang w:bidi="hi-IN"/>
          <w14:ligatures w14:val="standardContextual"/>
        </w:rPr>
        <w:t xml:space="preserve"> </w:t>
      </w:r>
    </w:p>
    <w:p w14:paraId="74CAC6F5" w14:textId="77777777" w:rsidR="00F23654" w:rsidRPr="00F23654" w:rsidRDefault="00F23654" w:rsidP="00F23654">
      <w:pPr>
        <w:pStyle w:val="a7"/>
        <w:ind w:right="95"/>
        <w:rPr>
          <w:rFonts w:ascii="Arial" w:hAnsi="Arial" w:cs="Arial"/>
          <w:sz w:val="21"/>
        </w:rPr>
      </w:pPr>
    </w:p>
    <w:p w14:paraId="223F9014" w14:textId="5100BA94" w:rsidR="00F23654" w:rsidRPr="00F23654" w:rsidRDefault="00F23654" w:rsidP="00C4448F">
      <w:pPr>
        <w:pStyle w:val="a9"/>
        <w:widowControl w:val="0"/>
        <w:numPr>
          <w:ilvl w:val="0"/>
          <w:numId w:val="39"/>
        </w:numPr>
        <w:tabs>
          <w:tab w:val="left" w:pos="917"/>
        </w:tabs>
        <w:autoSpaceDE w:val="0"/>
        <w:autoSpaceDN w:val="0"/>
        <w:ind w:right="95" w:hanging="644"/>
        <w:contextualSpacing w:val="0"/>
        <w:rPr>
          <w:rFonts w:ascii="Arial" w:hAnsi="Arial" w:cs="Arial"/>
          <w:sz w:val="24"/>
        </w:rPr>
      </w:pPr>
      <w:r w:rsidRPr="00F23654">
        <w:rPr>
          <w:rFonts w:ascii="Arial" w:hAnsi="Arial" w:cs="Arial"/>
          <w:sz w:val="24"/>
        </w:rPr>
        <w:lastRenderedPageBreak/>
        <w:t xml:space="preserve">In any event, the Legislation Law of China provides that only the Constitution, laws, administrative regulations, and local regulations and rules constitute general legislation in China. The difference between these types of binding measures and non-mandatory plans is also clear from the fact that the plans do not contain actual legal provisions, sanctions, or rules on applicability. </w:t>
      </w:r>
      <w:r w:rsidR="00CB683B">
        <w:rPr>
          <w:rFonts w:ascii="Arial" w:hAnsi="Arial" w:cs="Arial" w:hint="eastAsia"/>
          <w:sz w:val="24"/>
        </w:rPr>
        <w:t>T</w:t>
      </w:r>
      <w:r w:rsidR="00CB683B" w:rsidRPr="00CB683B">
        <w:rPr>
          <w:rFonts w:ascii="Arial" w:hAnsi="Arial" w:cs="Arial"/>
          <w:sz w:val="24"/>
        </w:rPr>
        <w:t xml:space="preserve">he GOC disagrees that the nature of the industrial policies could be understood and interpreted as entrusting or directing the </w:t>
      </w:r>
      <w:r w:rsidR="00CB683B">
        <w:rPr>
          <w:rFonts w:ascii="Arial" w:hAnsi="Arial" w:cs="Arial" w:hint="eastAsia"/>
          <w:sz w:val="24"/>
        </w:rPr>
        <w:t>transportation companies</w:t>
      </w:r>
      <w:r w:rsidR="00CB683B" w:rsidRPr="00CB683B">
        <w:rPr>
          <w:rFonts w:ascii="Arial" w:hAnsi="Arial" w:cs="Arial"/>
          <w:sz w:val="24"/>
        </w:rPr>
        <w:t xml:space="preserve"> to provide </w:t>
      </w:r>
      <w:r w:rsidR="00CB683B">
        <w:rPr>
          <w:rFonts w:ascii="Arial" w:hAnsi="Arial" w:cs="Arial" w:hint="eastAsia"/>
          <w:sz w:val="24"/>
        </w:rPr>
        <w:t>logistics and shipping services at below-market price</w:t>
      </w:r>
      <w:r w:rsidR="00CB683B" w:rsidRPr="00CB683B">
        <w:rPr>
          <w:rFonts w:ascii="Arial" w:hAnsi="Arial" w:cs="Arial"/>
          <w:sz w:val="24"/>
        </w:rPr>
        <w:t xml:space="preserve"> to the excavators industry or qualifying the </w:t>
      </w:r>
      <w:r w:rsidR="00CB683B">
        <w:rPr>
          <w:rFonts w:ascii="Arial" w:hAnsi="Arial" w:cs="Arial" w:hint="eastAsia"/>
          <w:sz w:val="24"/>
        </w:rPr>
        <w:t>transportation companies</w:t>
      </w:r>
      <w:r w:rsidR="00CB683B" w:rsidRPr="00CB683B">
        <w:rPr>
          <w:rFonts w:ascii="Arial" w:hAnsi="Arial" w:cs="Arial"/>
          <w:sz w:val="24"/>
        </w:rPr>
        <w:t xml:space="preserve"> as public bodies. </w:t>
      </w:r>
      <w:r w:rsidRPr="00F23654">
        <w:rPr>
          <w:rFonts w:ascii="Arial" w:hAnsi="Arial" w:cs="Arial"/>
          <w:sz w:val="24"/>
        </w:rPr>
        <w:t>Therefore, to the extent that the Applicant has relied on these plans in its analysis of the alleged subsidization, its claims are based on a misperception of the policy and therefore not accurate and adequate evidence.</w:t>
      </w:r>
    </w:p>
    <w:p w14:paraId="11408D1A" w14:textId="77777777" w:rsidR="00F23654" w:rsidRPr="00F23654" w:rsidRDefault="00F23654" w:rsidP="00F23654">
      <w:pPr>
        <w:pStyle w:val="a9"/>
        <w:rPr>
          <w:rFonts w:ascii="Arial" w:eastAsiaTheme="minorHAnsi" w:hAnsi="Arial" w:cs="Arial"/>
          <w:color w:val="000000" w:themeColor="text1"/>
          <w:sz w:val="24"/>
          <w:szCs w:val="24"/>
          <w:lang w:bidi="hi-IN"/>
          <w14:ligatures w14:val="standardContextual"/>
        </w:rPr>
      </w:pPr>
    </w:p>
    <w:p w14:paraId="5B5757EF" w14:textId="25C3852D" w:rsidR="00A802DB" w:rsidRPr="00A802DB" w:rsidRDefault="00A802DB" w:rsidP="00226C57">
      <w:pPr>
        <w:pStyle w:val="a9"/>
        <w:numPr>
          <w:ilvl w:val="0"/>
          <w:numId w:val="39"/>
        </w:numPr>
        <w:autoSpaceDE w:val="0"/>
        <w:autoSpaceDN w:val="0"/>
        <w:adjustRightInd w:val="0"/>
        <w:ind w:hanging="644"/>
        <w:contextualSpacing w:val="0"/>
        <w:rPr>
          <w:rFonts w:ascii="Arial" w:hAnsi="Arial" w:cs="Arial"/>
          <w:color w:val="000000" w:themeColor="text1"/>
          <w:sz w:val="24"/>
          <w:szCs w:val="24"/>
          <w:lang w:bidi="hi-IN"/>
          <w14:ligatures w14:val="standardContextual"/>
        </w:rPr>
      </w:pPr>
      <w:r w:rsidRPr="00A802DB">
        <w:rPr>
          <w:rFonts w:ascii="Arial" w:eastAsiaTheme="minorHAnsi" w:hAnsi="Arial" w:cs="Arial"/>
          <w:color w:val="000000" w:themeColor="text1"/>
          <w:sz w:val="24"/>
          <w:szCs w:val="24"/>
          <w:lang w:bidi="hi-IN"/>
          <w14:ligatures w14:val="standardContextual"/>
        </w:rPr>
        <w:t xml:space="preserve">To conclude, the GOC considers that the </w:t>
      </w:r>
      <w:r w:rsidRPr="00A802DB">
        <w:rPr>
          <w:rFonts w:ascii="Arial" w:hAnsi="Arial" w:cs="Arial" w:hint="eastAsia"/>
          <w:color w:val="000000" w:themeColor="text1"/>
          <w:sz w:val="24"/>
          <w:szCs w:val="24"/>
          <w:lang w:bidi="hi-IN"/>
          <w14:ligatures w14:val="standardContextual"/>
        </w:rPr>
        <w:t>Applicant provided</w:t>
      </w:r>
      <w:r w:rsidRPr="00A802DB">
        <w:rPr>
          <w:rFonts w:ascii="Arial" w:eastAsiaTheme="minorHAnsi" w:hAnsi="Arial" w:cs="Arial"/>
          <w:color w:val="000000" w:themeColor="text1"/>
          <w:sz w:val="24"/>
          <w:szCs w:val="24"/>
          <w:lang w:bidi="hi-IN"/>
          <w14:ligatures w14:val="standardContextual"/>
        </w:rPr>
        <w:t xml:space="preserve"> no evidence probative of the question whether the alleged provision of shipping and logistics</w:t>
      </w:r>
      <w:r w:rsidRPr="00A802DB">
        <w:rPr>
          <w:rFonts w:ascii="Arial" w:hAnsi="Arial" w:cs="Arial" w:hint="eastAsia"/>
          <w:color w:val="000000" w:themeColor="text1"/>
          <w:sz w:val="24"/>
          <w:szCs w:val="24"/>
          <w:lang w:bidi="hi-IN"/>
          <w14:ligatures w14:val="standardContextual"/>
        </w:rPr>
        <w:t xml:space="preserve"> </w:t>
      </w:r>
      <w:r w:rsidRPr="00A802DB">
        <w:rPr>
          <w:rFonts w:ascii="Arial" w:eastAsiaTheme="minorHAnsi" w:hAnsi="Arial" w:cs="Arial"/>
          <w:color w:val="000000" w:themeColor="text1"/>
          <w:sz w:val="24"/>
          <w:szCs w:val="24"/>
          <w:lang w:bidi="hi-IN"/>
          <w14:ligatures w14:val="standardContextual"/>
        </w:rPr>
        <w:t xml:space="preserve">services at LTAR conferred a benefit on the </w:t>
      </w:r>
      <w:r w:rsidRPr="00A802DB">
        <w:rPr>
          <w:rFonts w:ascii="Arial" w:hAnsi="Arial" w:cs="Arial" w:hint="eastAsia"/>
          <w:color w:val="000000" w:themeColor="text1"/>
          <w:sz w:val="24"/>
          <w:szCs w:val="24"/>
          <w:lang w:bidi="hi-IN"/>
          <w14:ligatures w14:val="standardContextual"/>
        </w:rPr>
        <w:t>Excavator</w:t>
      </w:r>
      <w:r w:rsidRPr="00A802DB">
        <w:rPr>
          <w:rFonts w:ascii="Arial" w:eastAsiaTheme="minorHAnsi" w:hAnsi="Arial" w:cs="Arial"/>
          <w:color w:val="000000" w:themeColor="text1"/>
          <w:sz w:val="24"/>
          <w:szCs w:val="24"/>
          <w:lang w:bidi="hi-IN"/>
          <w14:ligatures w14:val="standardContextual"/>
        </w:rPr>
        <w:t xml:space="preserve"> producers. </w:t>
      </w:r>
    </w:p>
    <w:p w14:paraId="40D54477" w14:textId="77777777" w:rsidR="00A802DB" w:rsidRPr="00A802DB" w:rsidRDefault="00A802DB" w:rsidP="00A802DB">
      <w:pPr>
        <w:pStyle w:val="a9"/>
        <w:rPr>
          <w:rFonts w:ascii="Arial" w:hAnsi="Arial" w:cs="Arial"/>
          <w:color w:val="000000" w:themeColor="text1"/>
          <w:sz w:val="24"/>
          <w:szCs w:val="24"/>
          <w:lang w:bidi="hi-IN"/>
          <w14:ligatures w14:val="standardContextual"/>
        </w:rPr>
      </w:pPr>
    </w:p>
    <w:p w14:paraId="45FAEE17" w14:textId="3940D083" w:rsidR="00226C57" w:rsidRPr="00226C57" w:rsidRDefault="00A802DB" w:rsidP="00226C57">
      <w:pPr>
        <w:pStyle w:val="a9"/>
        <w:numPr>
          <w:ilvl w:val="0"/>
          <w:numId w:val="41"/>
        </w:numPr>
        <w:autoSpaceDE w:val="0"/>
        <w:autoSpaceDN w:val="0"/>
        <w:adjustRightInd w:val="0"/>
        <w:ind w:hanging="644"/>
        <w:contextualSpacing w:val="0"/>
        <w:rPr>
          <w:rFonts w:ascii="Arial" w:eastAsia="Times New Roman" w:hAnsi="Arial" w:cs="Arial"/>
          <w:color w:val="000000" w:themeColor="text1"/>
          <w:sz w:val="24"/>
          <w:szCs w:val="24"/>
          <w:lang w:eastAsia="en-US"/>
        </w:rPr>
      </w:pPr>
      <w:r>
        <w:rPr>
          <w:rFonts w:ascii="Arial" w:hAnsi="Arial" w:cs="Arial" w:hint="eastAsia"/>
          <w:color w:val="000000" w:themeColor="text1"/>
          <w:sz w:val="24"/>
          <w:szCs w:val="24"/>
          <w:lang w:bidi="hi-IN"/>
          <w14:ligatures w14:val="standardContextual"/>
        </w:rPr>
        <w:t>The GOC further submits that</w:t>
      </w:r>
      <w:r w:rsidR="00EE04E3" w:rsidRPr="00EE04E3">
        <w:rPr>
          <w:rFonts w:ascii="Arial" w:hAnsi="Arial" w:cs="Arial"/>
          <w:color w:val="000000" w:themeColor="text1"/>
          <w:sz w:val="24"/>
          <w:szCs w:val="24"/>
          <w:lang w:bidi="hi-IN"/>
          <w14:ligatures w14:val="standardContextual"/>
        </w:rPr>
        <w:t xml:space="preserve"> </w:t>
      </w:r>
      <w:r w:rsidR="00226C57">
        <w:rPr>
          <w:rFonts w:ascii="Arial" w:hAnsi="Arial" w:cs="Arial" w:hint="eastAsia"/>
          <w:color w:val="000000" w:themeColor="text1"/>
          <w:sz w:val="24"/>
          <w:szCs w:val="24"/>
          <w:lang w:bidi="hi-IN"/>
          <w14:ligatures w14:val="standardContextual"/>
        </w:rPr>
        <w:t xml:space="preserve">the Applicant provided no evidence of </w:t>
      </w:r>
      <w:r w:rsidR="00226C57" w:rsidRPr="00226C57">
        <w:rPr>
          <w:rFonts w:ascii="Arial" w:hAnsi="Arial" w:cs="Arial"/>
          <w:color w:val="000000" w:themeColor="text1"/>
          <w:sz w:val="24"/>
          <w:szCs w:val="24"/>
          <w:lang w:bidi="hi-IN"/>
          <w14:ligatures w14:val="standardContextual"/>
        </w:rPr>
        <w:t>specificity</w:t>
      </w:r>
      <w:r w:rsidR="00226C57">
        <w:rPr>
          <w:rFonts w:ascii="Arial" w:hAnsi="Arial" w:cs="Arial" w:hint="eastAsia"/>
          <w:color w:val="000000" w:themeColor="text1"/>
          <w:sz w:val="24"/>
          <w:szCs w:val="24"/>
          <w:lang w:bidi="hi-IN"/>
          <w14:ligatures w14:val="standardContextual"/>
        </w:rPr>
        <w:t xml:space="preserve"> of alleged </w:t>
      </w:r>
      <w:r w:rsidR="00EE04E3" w:rsidRPr="00EE04E3">
        <w:rPr>
          <w:rFonts w:ascii="Arial" w:hAnsi="Arial" w:cs="Arial"/>
          <w:color w:val="000000" w:themeColor="text1"/>
          <w:sz w:val="24"/>
          <w:szCs w:val="24"/>
          <w:lang w:bidi="hi-IN"/>
          <w14:ligatures w14:val="standardContextual"/>
        </w:rPr>
        <w:t>international shipping for LTAR</w:t>
      </w:r>
      <w:r w:rsidR="00226C57">
        <w:rPr>
          <w:rFonts w:ascii="Arial" w:hAnsi="Arial" w:cs="Arial" w:hint="eastAsia"/>
          <w:color w:val="000000" w:themeColor="text1"/>
          <w:sz w:val="24"/>
          <w:szCs w:val="24"/>
          <w:lang w:bidi="hi-IN"/>
          <w14:ligatures w14:val="standardContextual"/>
        </w:rPr>
        <w:t xml:space="preserve">. </w:t>
      </w:r>
      <w:r w:rsidR="00226C57" w:rsidRPr="00131C50">
        <w:rPr>
          <w:rFonts w:ascii="Arial" w:eastAsiaTheme="minorHAnsi" w:hAnsi="Arial" w:cs="Arial"/>
          <w:color w:val="000000" w:themeColor="text1"/>
          <w:sz w:val="24"/>
          <w:szCs w:val="24"/>
          <w:lang w:eastAsia="en-US" w:bidi="hi-IN"/>
          <w14:ligatures w14:val="standardContextual"/>
        </w:rPr>
        <w:t>The</w:t>
      </w:r>
      <w:r w:rsidR="00226C57">
        <w:rPr>
          <w:rFonts w:ascii="Arial" w:hAnsi="Arial" w:cs="Arial" w:hint="eastAsia"/>
          <w:color w:val="000000" w:themeColor="text1"/>
          <w:sz w:val="24"/>
          <w:szCs w:val="24"/>
          <w:lang w:bidi="hi-IN"/>
          <w14:ligatures w14:val="standardContextual"/>
        </w:rPr>
        <w:t xml:space="preserve"> GOC notes that the Applicant</w:t>
      </w:r>
      <w:r w:rsidR="00226C57" w:rsidRPr="00131C50">
        <w:rPr>
          <w:rFonts w:ascii="Arial" w:eastAsiaTheme="minorHAnsi" w:hAnsi="Arial" w:cs="Arial"/>
          <w:color w:val="000000" w:themeColor="text1"/>
          <w:sz w:val="24"/>
          <w:szCs w:val="24"/>
          <w:lang w:eastAsia="en-US" w:bidi="hi-IN"/>
          <w14:ligatures w14:val="standardContextual"/>
        </w:rPr>
        <w:t xml:space="preserve"> merely claimed that the alleged </w:t>
      </w:r>
      <w:r w:rsidR="00226C57" w:rsidRPr="00226C57">
        <w:rPr>
          <w:rFonts w:ascii="Arial" w:eastAsiaTheme="minorHAnsi" w:hAnsi="Arial" w:cs="Arial"/>
          <w:color w:val="000000" w:themeColor="text1"/>
          <w:sz w:val="24"/>
          <w:szCs w:val="24"/>
          <w:lang w:eastAsia="en-US" w:bidi="hi-IN"/>
          <w14:ligatures w14:val="standardContextual"/>
        </w:rPr>
        <w:t>shipping and logistics</w:t>
      </w:r>
      <w:r w:rsidR="00226C57" w:rsidRPr="00226C57">
        <w:rPr>
          <w:rFonts w:ascii="Arial" w:eastAsiaTheme="minorHAnsi" w:hAnsi="Arial" w:cs="Arial" w:hint="eastAsia"/>
          <w:color w:val="000000" w:themeColor="text1"/>
          <w:sz w:val="24"/>
          <w:szCs w:val="24"/>
          <w:lang w:eastAsia="en-US" w:bidi="hi-IN"/>
          <w14:ligatures w14:val="standardContextual"/>
        </w:rPr>
        <w:t xml:space="preserve"> </w:t>
      </w:r>
      <w:r w:rsidR="00226C57" w:rsidRPr="00226C57">
        <w:rPr>
          <w:rFonts w:ascii="Arial" w:eastAsiaTheme="minorHAnsi" w:hAnsi="Arial" w:cs="Arial"/>
          <w:color w:val="000000" w:themeColor="text1"/>
          <w:sz w:val="24"/>
          <w:szCs w:val="24"/>
          <w:lang w:eastAsia="en-US" w:bidi="hi-IN"/>
          <w14:ligatures w14:val="standardContextual"/>
        </w:rPr>
        <w:t xml:space="preserve">services </w:t>
      </w:r>
      <w:r w:rsidR="00226C57" w:rsidRPr="00EE04E3">
        <w:rPr>
          <w:rFonts w:ascii="Arial" w:hAnsi="Arial" w:cs="Arial"/>
          <w:color w:val="000000" w:themeColor="text1"/>
          <w:sz w:val="24"/>
          <w:szCs w:val="24"/>
          <w:lang w:bidi="hi-IN"/>
          <w14:ligatures w14:val="standardContextual"/>
        </w:rPr>
        <w:t>for LTAR</w:t>
      </w:r>
      <w:r w:rsidR="00226C57" w:rsidRPr="00131C50">
        <w:rPr>
          <w:rFonts w:ascii="Arial" w:eastAsiaTheme="minorHAnsi" w:hAnsi="Arial" w:cs="Arial"/>
          <w:color w:val="000000" w:themeColor="text1"/>
          <w:sz w:val="24"/>
          <w:szCs w:val="24"/>
          <w:lang w:eastAsia="en-US" w:bidi="hi-IN"/>
          <w14:ligatures w14:val="standardContextual"/>
        </w:rPr>
        <w:t xml:space="preserve"> is </w:t>
      </w:r>
      <w:r w:rsidR="00226C57" w:rsidRPr="00226C57">
        <w:rPr>
          <w:rFonts w:ascii="Arial" w:eastAsiaTheme="minorHAnsi" w:hAnsi="Arial" w:cs="Arial"/>
          <w:color w:val="000000" w:themeColor="text1"/>
          <w:sz w:val="24"/>
          <w:szCs w:val="24"/>
          <w:lang w:eastAsia="en-US" w:bidi="hi-IN"/>
          <w14:ligatures w14:val="standardContextual"/>
        </w:rPr>
        <w:t>specific</w:t>
      </w:r>
      <w:r w:rsidR="00226C57">
        <w:rPr>
          <w:rFonts w:ascii="Arial" w:hAnsi="Arial" w:cs="Arial" w:hint="eastAsia"/>
          <w:color w:val="000000" w:themeColor="text1"/>
          <w:sz w:val="24"/>
          <w:szCs w:val="24"/>
          <w:lang w:bidi="hi-IN"/>
          <w14:ligatures w14:val="standardContextual"/>
        </w:rPr>
        <w:t xml:space="preserve"> </w:t>
      </w:r>
      <w:r w:rsidR="00226C57" w:rsidRPr="00226C57">
        <w:rPr>
          <w:rFonts w:ascii="Arial" w:eastAsiaTheme="minorHAnsi" w:hAnsi="Arial" w:cs="Arial"/>
          <w:color w:val="000000" w:themeColor="text1"/>
          <w:sz w:val="24"/>
          <w:szCs w:val="24"/>
          <w:lang w:eastAsia="en-US" w:bidi="hi-IN"/>
          <w14:ligatures w14:val="standardContextual"/>
        </w:rPr>
        <w:t>because the Excavator industry is an encouraged</w:t>
      </w:r>
      <w:r w:rsidR="00226C57">
        <w:rPr>
          <w:rFonts w:ascii="Arial" w:hAnsi="Arial" w:cs="Arial" w:hint="eastAsia"/>
          <w:color w:val="000000" w:themeColor="text1"/>
          <w:sz w:val="24"/>
          <w:szCs w:val="24"/>
          <w:lang w:bidi="hi-IN"/>
          <w14:ligatures w14:val="standardContextual"/>
        </w:rPr>
        <w:t xml:space="preserve"> </w:t>
      </w:r>
      <w:r w:rsidR="00226C57" w:rsidRPr="00226C57">
        <w:rPr>
          <w:rFonts w:ascii="Arial" w:eastAsiaTheme="minorHAnsi" w:hAnsi="Arial" w:cs="Arial"/>
          <w:color w:val="000000" w:themeColor="text1"/>
          <w:sz w:val="24"/>
          <w:szCs w:val="24"/>
          <w:lang w:eastAsia="en-US" w:bidi="hi-IN"/>
          <w14:ligatures w14:val="standardContextual"/>
        </w:rPr>
        <w:t>industry, and as the reduction of costs for shipping for the manufacturing</w:t>
      </w:r>
      <w:r w:rsidR="00226C57">
        <w:rPr>
          <w:rFonts w:ascii="Arial" w:hAnsi="Arial" w:cs="Arial" w:hint="eastAsia"/>
          <w:color w:val="000000" w:themeColor="text1"/>
          <w:sz w:val="24"/>
          <w:szCs w:val="24"/>
          <w:lang w:bidi="hi-IN"/>
          <w14:ligatures w14:val="standardContextual"/>
        </w:rPr>
        <w:t xml:space="preserve"> </w:t>
      </w:r>
      <w:r w:rsidR="00226C57" w:rsidRPr="00226C57">
        <w:rPr>
          <w:rFonts w:ascii="Arial" w:eastAsiaTheme="minorHAnsi" w:hAnsi="Arial" w:cs="Arial"/>
          <w:color w:val="000000" w:themeColor="text1"/>
          <w:sz w:val="24"/>
          <w:szCs w:val="24"/>
          <w:lang w:eastAsia="en-US" w:bidi="hi-IN"/>
          <w14:ligatures w14:val="standardContextual"/>
        </w:rPr>
        <w:t>sector is provided for in FYP14.</w:t>
      </w:r>
      <w:r w:rsidR="00226C57" w:rsidRPr="00131C50">
        <w:rPr>
          <w:rFonts w:ascii="Arial" w:eastAsiaTheme="minorHAnsi" w:hAnsi="Arial" w:cs="Arial"/>
          <w:color w:val="000000" w:themeColor="text1"/>
          <w:sz w:val="24"/>
          <w:szCs w:val="24"/>
          <w:lang w:eastAsia="en-US" w:bidi="hi-IN"/>
          <w14:ligatures w14:val="standardContextual"/>
        </w:rPr>
        <w:t xml:space="preserve"> </w:t>
      </w:r>
      <w:r w:rsidR="00F23654" w:rsidRPr="00F23654">
        <w:rPr>
          <w:rFonts w:ascii="Arial" w:eastAsiaTheme="minorHAnsi" w:hAnsi="Arial" w:cs="Arial"/>
          <w:color w:val="000000" w:themeColor="text1"/>
          <w:sz w:val="24"/>
          <w:szCs w:val="24"/>
          <w:lang w:eastAsia="en-US" w:bidi="hi-IN"/>
          <w14:ligatures w14:val="standardContextual"/>
        </w:rPr>
        <w:t>The Applicant’s reliance on the 14th Five-Year Plan</w:t>
      </w:r>
      <w:r w:rsidR="008260C7">
        <w:rPr>
          <w:rFonts w:ascii="Arial" w:hAnsi="Arial" w:cs="Arial" w:hint="eastAsia"/>
          <w:color w:val="000000" w:themeColor="text1"/>
          <w:sz w:val="24"/>
          <w:szCs w:val="24"/>
          <w:lang w:bidi="hi-IN"/>
          <w14:ligatures w14:val="standardContextual"/>
        </w:rPr>
        <w:t xml:space="preserve"> and </w:t>
      </w:r>
      <w:r w:rsidR="008260C7" w:rsidRPr="008260C7">
        <w:rPr>
          <w:rFonts w:ascii="Arial" w:eastAsiaTheme="minorHAnsi" w:hAnsi="Arial" w:cs="Arial"/>
          <w:color w:val="000000" w:themeColor="text1"/>
          <w:sz w:val="24"/>
          <w:szCs w:val="24"/>
          <w:lang w:eastAsia="en-US" w:bidi="hi-IN"/>
          <w14:ligatures w14:val="standardContextual"/>
        </w:rPr>
        <w:t xml:space="preserve">Decision No. 40 </w:t>
      </w:r>
      <w:r w:rsidR="00F23654" w:rsidRPr="00F23654">
        <w:rPr>
          <w:rFonts w:ascii="Arial" w:eastAsiaTheme="minorHAnsi" w:hAnsi="Arial" w:cs="Arial"/>
          <w:color w:val="000000" w:themeColor="text1"/>
          <w:sz w:val="24"/>
          <w:szCs w:val="24"/>
          <w:lang w:eastAsia="en-US" w:bidi="hi-IN"/>
          <w14:ligatures w14:val="standardContextual"/>
        </w:rPr>
        <w:t xml:space="preserve"> </w:t>
      </w:r>
      <w:r w:rsidR="008260C7">
        <w:rPr>
          <w:rFonts w:ascii="Arial" w:hAnsi="Arial" w:cs="Arial" w:hint="eastAsia"/>
          <w:color w:val="000000" w:themeColor="text1"/>
          <w:sz w:val="24"/>
          <w:szCs w:val="24"/>
          <w:lang w:bidi="hi-IN"/>
          <w14:ligatures w14:val="standardContextual"/>
        </w:rPr>
        <w:t>are</w:t>
      </w:r>
      <w:r w:rsidR="00F23654" w:rsidRPr="00F23654">
        <w:rPr>
          <w:rFonts w:ascii="Arial" w:eastAsiaTheme="minorHAnsi" w:hAnsi="Arial" w:cs="Arial"/>
          <w:color w:val="000000" w:themeColor="text1"/>
          <w:sz w:val="24"/>
          <w:szCs w:val="24"/>
          <w:lang w:eastAsia="en-US" w:bidi="hi-IN"/>
          <w14:ligatures w14:val="standardContextual"/>
        </w:rPr>
        <w:t xml:space="preserve"> also misplaced. Moreover, and in any event, this plan does not mention </w:t>
      </w:r>
      <w:r w:rsidR="00F23654">
        <w:rPr>
          <w:rFonts w:ascii="Arial" w:hAnsi="Arial" w:cs="Arial" w:hint="eastAsia"/>
          <w:color w:val="000000" w:themeColor="text1"/>
          <w:sz w:val="24"/>
          <w:szCs w:val="24"/>
          <w:lang w:bidi="hi-IN"/>
          <w14:ligatures w14:val="standardContextual"/>
        </w:rPr>
        <w:t>Excavator indus</w:t>
      </w:r>
      <w:r w:rsidR="008260C7">
        <w:rPr>
          <w:rFonts w:ascii="Arial" w:hAnsi="Arial" w:cs="Arial" w:hint="eastAsia"/>
          <w:color w:val="000000" w:themeColor="text1"/>
          <w:sz w:val="24"/>
          <w:szCs w:val="24"/>
          <w:lang w:bidi="hi-IN"/>
          <w14:ligatures w14:val="standardContextual"/>
        </w:rPr>
        <w:t>try</w:t>
      </w:r>
      <w:r w:rsidR="00F23654" w:rsidRPr="00F23654">
        <w:rPr>
          <w:rFonts w:ascii="Arial" w:eastAsiaTheme="minorHAnsi" w:hAnsi="Arial" w:cs="Arial"/>
          <w:color w:val="000000" w:themeColor="text1"/>
          <w:sz w:val="24"/>
          <w:szCs w:val="24"/>
          <w:lang w:eastAsia="en-US" w:bidi="hi-IN"/>
          <w14:ligatures w14:val="standardContextual"/>
        </w:rPr>
        <w:t xml:space="preserve">. </w:t>
      </w:r>
      <w:r w:rsidR="00226C57" w:rsidRPr="00131C50">
        <w:rPr>
          <w:rFonts w:ascii="Arial" w:eastAsiaTheme="minorHAnsi" w:hAnsi="Arial" w:cs="Arial"/>
          <w:color w:val="000000" w:themeColor="text1"/>
          <w:sz w:val="24"/>
          <w:szCs w:val="24"/>
          <w:lang w:eastAsia="en-US" w:bidi="hi-IN"/>
          <w14:ligatures w14:val="standardContextual"/>
        </w:rPr>
        <w:t xml:space="preserve">There is no indication of the legal basis and type of specificity suggested by the </w:t>
      </w:r>
      <w:r w:rsidR="00F23654">
        <w:rPr>
          <w:rFonts w:ascii="Arial" w:hAnsi="Arial" w:cs="Arial" w:hint="eastAsia"/>
          <w:color w:val="000000" w:themeColor="text1"/>
          <w:sz w:val="24"/>
          <w:szCs w:val="24"/>
          <w:lang w:bidi="hi-IN"/>
          <w14:ligatures w14:val="standardContextual"/>
        </w:rPr>
        <w:t>Applicant</w:t>
      </w:r>
      <w:r w:rsidR="00226C57" w:rsidRPr="00131C50">
        <w:rPr>
          <w:rFonts w:ascii="Arial" w:eastAsiaTheme="minorHAnsi" w:hAnsi="Arial" w:cs="Arial"/>
          <w:color w:val="000000" w:themeColor="text1"/>
          <w:sz w:val="24"/>
          <w:szCs w:val="24"/>
          <w:lang w:eastAsia="en-US" w:bidi="hi-IN"/>
          <w14:ligatures w14:val="standardContextual"/>
        </w:rPr>
        <w:t xml:space="preserve"> pursuant to Article 2 of the SCM Agreement. </w:t>
      </w:r>
    </w:p>
    <w:p w14:paraId="217004EC" w14:textId="77777777" w:rsidR="00226C57" w:rsidRPr="00226C57" w:rsidRDefault="00226C57" w:rsidP="00226C57">
      <w:pPr>
        <w:pStyle w:val="a9"/>
        <w:autoSpaceDE w:val="0"/>
        <w:autoSpaceDN w:val="0"/>
        <w:adjustRightInd w:val="0"/>
        <w:contextualSpacing w:val="0"/>
        <w:rPr>
          <w:rFonts w:ascii="Arial" w:eastAsia="Times New Roman" w:hAnsi="Arial" w:cs="Arial"/>
          <w:color w:val="000000" w:themeColor="text1"/>
          <w:sz w:val="24"/>
          <w:szCs w:val="24"/>
          <w:lang w:eastAsia="en-US"/>
        </w:rPr>
      </w:pPr>
    </w:p>
    <w:p w14:paraId="22DAD3F1" w14:textId="04102CE3" w:rsidR="00226C57" w:rsidRPr="00F23654" w:rsidRDefault="00226C57" w:rsidP="00226C57">
      <w:pPr>
        <w:pStyle w:val="a9"/>
        <w:numPr>
          <w:ilvl w:val="0"/>
          <w:numId w:val="41"/>
        </w:numPr>
        <w:autoSpaceDE w:val="0"/>
        <w:autoSpaceDN w:val="0"/>
        <w:adjustRightInd w:val="0"/>
        <w:ind w:left="720" w:hanging="720"/>
        <w:contextualSpacing w:val="0"/>
        <w:rPr>
          <w:rFonts w:ascii="Arial" w:eastAsia="Times New Roman" w:hAnsi="Arial" w:cs="Arial"/>
          <w:color w:val="000000" w:themeColor="text1"/>
          <w:sz w:val="24"/>
          <w:szCs w:val="24"/>
          <w:lang w:eastAsia="en-US"/>
        </w:rPr>
      </w:pPr>
      <w:r w:rsidRPr="00131C50">
        <w:rPr>
          <w:rFonts w:ascii="Arial" w:eastAsiaTheme="minorHAnsi" w:hAnsi="Arial" w:cs="Arial"/>
          <w:color w:val="000000" w:themeColor="text1"/>
          <w:sz w:val="24"/>
          <w:szCs w:val="24"/>
          <w:lang w:eastAsia="en-US" w:bidi="hi-IN"/>
          <w14:ligatures w14:val="standardContextual"/>
        </w:rPr>
        <w:t>To the extent the use of the term “</w:t>
      </w:r>
      <w:r w:rsidRPr="00131C50">
        <w:rPr>
          <w:rFonts w:ascii="Arial" w:eastAsiaTheme="minorHAnsi" w:hAnsi="Arial" w:cs="Arial"/>
          <w:i/>
          <w:iCs/>
          <w:color w:val="000000" w:themeColor="text1"/>
          <w:sz w:val="24"/>
          <w:szCs w:val="24"/>
          <w:lang w:eastAsia="en-US" w:bidi="hi-IN"/>
          <w14:ligatures w14:val="standardContextual"/>
        </w:rPr>
        <w:t xml:space="preserve">encouraged </w:t>
      </w:r>
      <w:r w:rsidR="00983835">
        <w:rPr>
          <w:rFonts w:ascii="Arial" w:hAnsi="Arial" w:cs="Arial" w:hint="eastAsia"/>
          <w:i/>
          <w:iCs/>
          <w:color w:val="000000" w:themeColor="text1"/>
          <w:sz w:val="24"/>
          <w:szCs w:val="24"/>
          <w:lang w:bidi="hi-IN"/>
          <w14:ligatures w14:val="standardContextual"/>
        </w:rPr>
        <w:t>industry</w:t>
      </w:r>
      <w:r w:rsidRPr="00131C50">
        <w:rPr>
          <w:rFonts w:ascii="Arial" w:eastAsiaTheme="minorHAnsi" w:hAnsi="Arial" w:cs="Arial"/>
          <w:color w:val="000000" w:themeColor="text1"/>
          <w:sz w:val="24"/>
          <w:szCs w:val="24"/>
          <w:lang w:eastAsia="en-US" w:bidi="hi-IN"/>
          <w14:ligatures w14:val="standardContextual"/>
        </w:rPr>
        <w:t>”</w:t>
      </w:r>
      <w:r w:rsidRPr="00131C50">
        <w:rPr>
          <w:rFonts w:ascii="Arial" w:eastAsia="Times New Roman" w:hAnsi="Arial" w:cs="Arial"/>
          <w:color w:val="000000" w:themeColor="text1"/>
          <w:sz w:val="24"/>
          <w:szCs w:val="24"/>
          <w:lang w:eastAsia="en-US"/>
        </w:rPr>
        <w:t xml:space="preserve"> by the </w:t>
      </w:r>
      <w:r w:rsidR="00983835">
        <w:rPr>
          <w:rFonts w:ascii="Arial" w:hAnsi="Arial" w:cs="Arial" w:hint="eastAsia"/>
          <w:color w:val="000000" w:themeColor="text1"/>
          <w:sz w:val="24"/>
          <w:szCs w:val="24"/>
        </w:rPr>
        <w:t>Applicant</w:t>
      </w:r>
      <w:r w:rsidRPr="00131C50">
        <w:rPr>
          <w:rFonts w:ascii="Arial" w:eastAsia="Times New Roman" w:hAnsi="Arial" w:cs="Arial"/>
          <w:color w:val="000000" w:themeColor="text1"/>
          <w:sz w:val="24"/>
          <w:szCs w:val="24"/>
          <w:lang w:eastAsia="en-US"/>
        </w:rPr>
        <w:t xml:space="preserve"> is to be understood to mean that the </w:t>
      </w:r>
      <w:r w:rsidR="00983835">
        <w:rPr>
          <w:rFonts w:ascii="Arial" w:hAnsi="Arial" w:cs="Arial" w:hint="eastAsia"/>
          <w:color w:val="000000" w:themeColor="text1"/>
          <w:sz w:val="24"/>
          <w:szCs w:val="24"/>
        </w:rPr>
        <w:t>Applicant</w:t>
      </w:r>
      <w:r w:rsidRPr="00131C50">
        <w:rPr>
          <w:rFonts w:ascii="Arial" w:eastAsia="Times New Roman" w:hAnsi="Arial" w:cs="Arial"/>
          <w:color w:val="000000" w:themeColor="text1"/>
          <w:sz w:val="24"/>
          <w:szCs w:val="24"/>
          <w:lang w:eastAsia="en-US"/>
        </w:rPr>
        <w:t xml:space="preserve"> considers that there is </w:t>
      </w:r>
      <w:r w:rsidRPr="00131C50">
        <w:rPr>
          <w:rFonts w:ascii="Arial" w:hAnsi="Arial" w:cs="Arial"/>
          <w:i/>
          <w:color w:val="000000" w:themeColor="text1"/>
          <w:sz w:val="24"/>
          <w:szCs w:val="24"/>
        </w:rPr>
        <w:t>de jure</w:t>
      </w:r>
      <w:r w:rsidRPr="00131C50">
        <w:rPr>
          <w:rFonts w:ascii="Arial" w:hAnsi="Arial" w:cs="Arial"/>
          <w:color w:val="000000" w:themeColor="text1"/>
          <w:sz w:val="24"/>
          <w:szCs w:val="24"/>
        </w:rPr>
        <w:t xml:space="preserve"> specificity within the meaning of Article 2.1(a) of the SCM Agreement -- pursuant to which a subsidy is specific if the granting authority, or the legislation </w:t>
      </w:r>
      <w:r w:rsidRPr="00131C50">
        <w:rPr>
          <w:rFonts w:ascii="Arial" w:hAnsi="Arial" w:cs="Arial"/>
          <w:color w:val="000000" w:themeColor="text1"/>
          <w:sz w:val="24"/>
          <w:szCs w:val="24"/>
        </w:rPr>
        <w:lastRenderedPageBreak/>
        <w:t xml:space="preserve">pursuant to which the granting authority operates, explicitly limits access to that subsidy to eligible enterprises or industries -- </w:t>
      </w:r>
      <w:r w:rsidRPr="00131C50">
        <w:rPr>
          <w:rFonts w:ascii="Arial" w:eastAsia="Times New Roman" w:hAnsi="Arial" w:cs="Arial"/>
          <w:color w:val="000000" w:themeColor="text1"/>
          <w:sz w:val="24"/>
          <w:szCs w:val="24"/>
          <w:lang w:eastAsia="en-US"/>
        </w:rPr>
        <w:t xml:space="preserve">in line with the Appellate Body ruling in </w:t>
      </w:r>
      <w:r w:rsidRPr="00131C50">
        <w:rPr>
          <w:rFonts w:ascii="Arial" w:eastAsia="Times New Roman" w:hAnsi="Arial" w:cs="Arial"/>
          <w:i/>
          <w:color w:val="000000" w:themeColor="text1"/>
          <w:sz w:val="24"/>
          <w:szCs w:val="24"/>
          <w:lang w:eastAsia="en-US"/>
        </w:rPr>
        <w:t xml:space="preserve">US </w:t>
      </w:r>
      <w:r w:rsidRPr="00131C50">
        <w:rPr>
          <w:rFonts w:ascii="Arial" w:hAnsi="Arial" w:cs="Arial"/>
          <w:i/>
          <w:iCs/>
          <w:color w:val="000000" w:themeColor="text1"/>
          <w:sz w:val="24"/>
          <w:szCs w:val="24"/>
          <w:lang w:bidi="hi-IN"/>
        </w:rPr>
        <w:t>–</w:t>
      </w:r>
      <w:r w:rsidRPr="00131C50">
        <w:rPr>
          <w:rFonts w:ascii="Arial" w:eastAsia="Times New Roman" w:hAnsi="Arial" w:cs="Arial"/>
          <w:i/>
          <w:color w:val="000000" w:themeColor="text1"/>
          <w:sz w:val="24"/>
          <w:szCs w:val="24"/>
          <w:lang w:eastAsia="en-US"/>
        </w:rPr>
        <w:t xml:space="preserve"> Countervailing Measures (China),</w:t>
      </w:r>
      <w:r w:rsidRPr="00131C50">
        <w:rPr>
          <w:rFonts w:ascii="Arial" w:eastAsia="Times New Roman" w:hAnsi="Arial" w:cs="Arial"/>
          <w:color w:val="000000" w:themeColor="text1"/>
          <w:sz w:val="24"/>
          <w:szCs w:val="24"/>
          <w:lang w:eastAsia="en-US"/>
        </w:rPr>
        <w:t xml:space="preserve"> it was incumbent upon the Commission to (a) identify the granting authority, and (b) at a minimum establish that the legislation pursuant to which the granting authority operates expressly limits access to the alleged subsidy to certain industries. No information was however given on these two legal elements by the </w:t>
      </w:r>
      <w:r w:rsidR="00F23654">
        <w:rPr>
          <w:rFonts w:ascii="Arial" w:hAnsi="Arial" w:cs="Arial" w:hint="eastAsia"/>
          <w:color w:val="000000" w:themeColor="text1"/>
          <w:sz w:val="24"/>
          <w:szCs w:val="24"/>
        </w:rPr>
        <w:t>Applicant</w:t>
      </w:r>
      <w:r w:rsidRPr="00131C50">
        <w:rPr>
          <w:rFonts w:ascii="Arial" w:eastAsia="Times New Roman" w:hAnsi="Arial" w:cs="Arial"/>
          <w:color w:val="000000" w:themeColor="text1"/>
          <w:sz w:val="24"/>
          <w:szCs w:val="24"/>
          <w:lang w:eastAsia="en-US"/>
        </w:rPr>
        <w:t>.</w:t>
      </w:r>
      <w:r w:rsidRPr="00131C50">
        <w:rPr>
          <w:rStyle w:val="ab"/>
          <w:rFonts w:ascii="Arial" w:eastAsia="Times New Roman" w:hAnsi="Arial" w:cs="Arial"/>
          <w:color w:val="000000" w:themeColor="text1"/>
          <w:sz w:val="24"/>
          <w:szCs w:val="24"/>
          <w:lang w:eastAsia="en-US"/>
        </w:rPr>
        <w:footnoteReference w:id="70"/>
      </w:r>
    </w:p>
    <w:p w14:paraId="7478ED04" w14:textId="77777777" w:rsidR="00F23654" w:rsidRPr="00F23654" w:rsidRDefault="00F23654" w:rsidP="00F23654">
      <w:pPr>
        <w:pStyle w:val="a9"/>
        <w:rPr>
          <w:rFonts w:ascii="Arial" w:eastAsia="Times New Roman" w:hAnsi="Arial" w:cs="Arial"/>
          <w:color w:val="000000" w:themeColor="text1"/>
          <w:sz w:val="24"/>
          <w:szCs w:val="24"/>
          <w:lang w:eastAsia="en-US"/>
        </w:rPr>
      </w:pPr>
    </w:p>
    <w:p w14:paraId="2C17ACEA" w14:textId="67A2763C" w:rsidR="00EE04E3" w:rsidRDefault="003A55D6" w:rsidP="00226C57">
      <w:pPr>
        <w:pStyle w:val="a9"/>
        <w:numPr>
          <w:ilvl w:val="0"/>
          <w:numId w:val="42"/>
        </w:numPr>
        <w:autoSpaceDE w:val="0"/>
        <w:autoSpaceDN w:val="0"/>
        <w:adjustRightInd w:val="0"/>
        <w:ind w:hanging="644"/>
        <w:contextualSpacing w:val="0"/>
        <w:rPr>
          <w:rFonts w:ascii="Arial" w:hAnsi="Arial" w:cs="Arial"/>
          <w:color w:val="000000" w:themeColor="text1"/>
          <w:sz w:val="24"/>
          <w:szCs w:val="24"/>
          <w:lang w:bidi="hi-IN"/>
          <w14:ligatures w14:val="standardContextual"/>
        </w:rPr>
      </w:pPr>
      <w:r>
        <w:rPr>
          <w:rFonts w:ascii="Arial" w:hAnsi="Arial" w:cs="Arial" w:hint="eastAsia"/>
          <w:color w:val="000000" w:themeColor="text1"/>
          <w:sz w:val="24"/>
          <w:szCs w:val="24"/>
          <w:lang w:bidi="hi-IN"/>
          <w14:ligatures w14:val="standardContextual"/>
        </w:rPr>
        <w:t xml:space="preserve">The GOC submits that </w:t>
      </w:r>
      <w:r w:rsidR="00EE04E3" w:rsidRPr="00EE04E3">
        <w:rPr>
          <w:rFonts w:ascii="Arial" w:hAnsi="Arial" w:cs="Arial"/>
          <w:color w:val="000000" w:themeColor="text1"/>
          <w:sz w:val="24"/>
          <w:szCs w:val="24"/>
          <w:lang w:bidi="hi-IN"/>
          <w14:ligatures w14:val="standardContextual"/>
        </w:rPr>
        <w:t>information in relation to the</w:t>
      </w:r>
      <w:r w:rsidR="00EE04E3" w:rsidRPr="00EE04E3">
        <w:rPr>
          <w:rFonts w:ascii="Arial" w:hAnsi="Arial" w:cs="Arial" w:hint="eastAsia"/>
          <w:color w:val="000000" w:themeColor="text1"/>
          <w:sz w:val="24"/>
          <w:szCs w:val="24"/>
          <w:lang w:bidi="hi-IN"/>
          <w14:ligatures w14:val="standardContextual"/>
        </w:rPr>
        <w:t xml:space="preserve"> </w:t>
      </w:r>
      <w:r w:rsidR="00EE04E3" w:rsidRPr="00EE04E3">
        <w:rPr>
          <w:rFonts w:ascii="Arial" w:hAnsi="Arial" w:cs="Arial"/>
          <w:color w:val="000000" w:themeColor="text1"/>
          <w:sz w:val="24"/>
          <w:szCs w:val="24"/>
          <w:lang w:bidi="hi-IN"/>
          <w14:ligatures w14:val="standardContextual"/>
        </w:rPr>
        <w:t xml:space="preserve">specificity factors </w:t>
      </w:r>
      <w:r>
        <w:rPr>
          <w:rFonts w:ascii="Arial" w:hAnsi="Arial" w:cs="Arial" w:hint="eastAsia"/>
          <w:color w:val="000000" w:themeColor="text1"/>
          <w:sz w:val="24"/>
          <w:szCs w:val="24"/>
          <w:lang w:bidi="hi-IN"/>
          <w14:ligatures w14:val="standardContextual"/>
        </w:rPr>
        <w:t xml:space="preserve">shall be </w:t>
      </w:r>
      <w:r w:rsidR="00EE04E3" w:rsidRPr="00EE04E3">
        <w:rPr>
          <w:rFonts w:ascii="Arial" w:hAnsi="Arial" w:cs="Arial"/>
          <w:color w:val="000000" w:themeColor="text1"/>
          <w:sz w:val="24"/>
          <w:szCs w:val="24"/>
          <w:lang w:bidi="hi-IN"/>
          <w14:ligatures w14:val="standardContextual"/>
        </w:rPr>
        <w:t>distinguish</w:t>
      </w:r>
      <w:r>
        <w:rPr>
          <w:rFonts w:ascii="Arial" w:hAnsi="Arial" w:cs="Arial" w:hint="eastAsia"/>
          <w:color w:val="000000" w:themeColor="text1"/>
          <w:sz w:val="24"/>
          <w:szCs w:val="24"/>
          <w:lang w:bidi="hi-IN"/>
          <w14:ligatures w14:val="standardContextual"/>
        </w:rPr>
        <w:t>ed</w:t>
      </w:r>
      <w:r w:rsidR="00EE04E3" w:rsidRPr="00EE04E3">
        <w:rPr>
          <w:rFonts w:ascii="Arial" w:hAnsi="Arial" w:cs="Arial"/>
          <w:color w:val="000000" w:themeColor="text1"/>
          <w:sz w:val="24"/>
          <w:szCs w:val="24"/>
          <w:lang w:bidi="hi-IN"/>
          <w14:ligatures w14:val="standardContextual"/>
        </w:rPr>
        <w:t xml:space="preserve"> between broad</w:t>
      </w:r>
      <w:r w:rsidR="00EE04E3" w:rsidRPr="00EE04E3">
        <w:rPr>
          <w:rFonts w:ascii="Arial" w:hAnsi="Arial" w:cs="Arial" w:hint="eastAsia"/>
          <w:color w:val="000000" w:themeColor="text1"/>
          <w:sz w:val="24"/>
          <w:szCs w:val="24"/>
          <w:lang w:bidi="hi-IN"/>
          <w14:ligatures w14:val="standardContextual"/>
        </w:rPr>
        <w:t xml:space="preserve"> </w:t>
      </w:r>
      <w:r w:rsidR="00EE04E3" w:rsidRPr="00EE04E3">
        <w:rPr>
          <w:rFonts w:ascii="Arial" w:hAnsi="Arial" w:cs="Arial"/>
          <w:color w:val="000000" w:themeColor="text1"/>
          <w:sz w:val="24"/>
          <w:szCs w:val="24"/>
          <w:lang w:bidi="hi-IN"/>
          <w14:ligatures w14:val="standardContextual"/>
        </w:rPr>
        <w:t xml:space="preserve">development goals or economic policy, and specific program objectives and criteria. </w:t>
      </w:r>
      <w:r>
        <w:rPr>
          <w:rFonts w:ascii="Arial" w:hAnsi="Arial" w:cs="Arial" w:hint="eastAsia"/>
          <w:color w:val="000000" w:themeColor="text1"/>
          <w:sz w:val="24"/>
          <w:szCs w:val="24"/>
          <w:lang w:bidi="hi-IN"/>
          <w14:ligatures w14:val="standardContextual"/>
        </w:rPr>
        <w:t>The information provided by the Applicant may refer to</w:t>
      </w:r>
      <w:r w:rsidR="00EE04E3" w:rsidRPr="00EE04E3">
        <w:rPr>
          <w:rFonts w:ascii="Arial" w:hAnsi="Arial" w:cs="Arial"/>
          <w:color w:val="000000" w:themeColor="text1"/>
          <w:sz w:val="24"/>
          <w:szCs w:val="24"/>
          <w:lang w:bidi="hi-IN"/>
          <w14:ligatures w14:val="standardContextual"/>
        </w:rPr>
        <w:t xml:space="preserve"> a broad policy goal of promoting international trade, </w:t>
      </w:r>
      <w:r>
        <w:rPr>
          <w:rFonts w:ascii="Arial" w:hAnsi="Arial" w:cs="Arial" w:hint="eastAsia"/>
          <w:color w:val="000000" w:themeColor="text1"/>
          <w:sz w:val="24"/>
          <w:szCs w:val="24"/>
          <w:lang w:bidi="hi-IN"/>
          <w14:ligatures w14:val="standardContextual"/>
        </w:rPr>
        <w:t>but it failed to provide evidences</w:t>
      </w:r>
      <w:r w:rsidR="00EE04E3" w:rsidRPr="00EE04E3">
        <w:rPr>
          <w:rFonts w:ascii="Arial" w:hAnsi="Arial" w:cs="Arial"/>
          <w:color w:val="000000" w:themeColor="text1"/>
          <w:sz w:val="24"/>
          <w:szCs w:val="24"/>
          <w:lang w:bidi="hi-IN"/>
          <w14:ligatures w14:val="standardContextual"/>
        </w:rPr>
        <w:t xml:space="preserve"> demonstrating a program that</w:t>
      </w:r>
      <w:r w:rsidR="00EE04E3" w:rsidRPr="00EE04E3">
        <w:rPr>
          <w:rFonts w:ascii="Arial" w:hAnsi="Arial" w:cs="Arial" w:hint="eastAsia"/>
          <w:color w:val="000000" w:themeColor="text1"/>
          <w:sz w:val="24"/>
          <w:szCs w:val="24"/>
          <w:lang w:bidi="hi-IN"/>
          <w14:ligatures w14:val="standardContextual"/>
        </w:rPr>
        <w:t xml:space="preserve"> </w:t>
      </w:r>
      <w:r w:rsidR="00EE04E3" w:rsidRPr="00EE04E3">
        <w:rPr>
          <w:rFonts w:ascii="Arial" w:hAnsi="Arial" w:cs="Arial"/>
          <w:color w:val="000000" w:themeColor="text1"/>
          <w:sz w:val="24"/>
          <w:szCs w:val="24"/>
          <w:lang w:bidi="hi-IN"/>
          <w14:ligatures w14:val="standardContextual"/>
        </w:rPr>
        <w:t>provides ocean freight services at LTAR that tied to actual or anticipated exportation or export</w:t>
      </w:r>
      <w:r w:rsidR="00EE04E3" w:rsidRPr="00EE04E3">
        <w:rPr>
          <w:rFonts w:ascii="Arial" w:hAnsi="Arial" w:cs="Arial" w:hint="eastAsia"/>
          <w:color w:val="000000" w:themeColor="text1"/>
          <w:sz w:val="24"/>
          <w:szCs w:val="24"/>
          <w:lang w:bidi="hi-IN"/>
          <w14:ligatures w14:val="standardContextual"/>
        </w:rPr>
        <w:t xml:space="preserve"> </w:t>
      </w:r>
      <w:r w:rsidR="00EE04E3" w:rsidRPr="00EE04E3">
        <w:rPr>
          <w:rFonts w:ascii="Arial" w:hAnsi="Arial" w:cs="Arial"/>
          <w:color w:val="000000" w:themeColor="text1"/>
          <w:sz w:val="24"/>
          <w:szCs w:val="24"/>
          <w:lang w:bidi="hi-IN"/>
          <w14:ligatures w14:val="standardContextual"/>
        </w:rPr>
        <w:t>earnings of the beneficiaries of the shipping service, and, thus, there is no evidence of a de facto</w:t>
      </w:r>
      <w:r w:rsidR="00EE04E3" w:rsidRPr="00EE04E3">
        <w:rPr>
          <w:rFonts w:ascii="Arial" w:hAnsi="Arial" w:cs="Arial" w:hint="eastAsia"/>
          <w:color w:val="000000" w:themeColor="text1"/>
          <w:sz w:val="24"/>
          <w:szCs w:val="24"/>
          <w:lang w:bidi="hi-IN"/>
          <w14:ligatures w14:val="standardContextual"/>
        </w:rPr>
        <w:t xml:space="preserve"> </w:t>
      </w:r>
      <w:r w:rsidR="00EE04E3" w:rsidRPr="00EE04E3">
        <w:rPr>
          <w:rFonts w:ascii="Arial" w:hAnsi="Arial" w:cs="Arial"/>
          <w:color w:val="000000" w:themeColor="text1"/>
          <w:sz w:val="24"/>
          <w:szCs w:val="24"/>
          <w:lang w:bidi="hi-IN"/>
          <w14:ligatures w14:val="standardContextual"/>
        </w:rPr>
        <w:t xml:space="preserve">export subsidy. Further, </w:t>
      </w:r>
      <w:r>
        <w:rPr>
          <w:rFonts w:ascii="Arial" w:hAnsi="Arial" w:cs="Arial" w:hint="eastAsia"/>
          <w:color w:val="000000" w:themeColor="text1"/>
          <w:sz w:val="24"/>
          <w:szCs w:val="24"/>
          <w:lang w:bidi="hi-IN"/>
          <w14:ligatures w14:val="standardContextual"/>
        </w:rPr>
        <w:t xml:space="preserve">the GOC submits </w:t>
      </w:r>
      <w:r w:rsidR="00EE04E3" w:rsidRPr="00EE04E3">
        <w:rPr>
          <w:rFonts w:ascii="Arial" w:hAnsi="Arial" w:cs="Arial"/>
          <w:color w:val="000000" w:themeColor="text1"/>
          <w:sz w:val="24"/>
          <w:szCs w:val="24"/>
          <w:lang w:bidi="hi-IN"/>
          <w14:ligatures w14:val="standardContextual"/>
        </w:rPr>
        <w:t>that the</w:t>
      </w:r>
      <w:r w:rsidR="00EE04E3" w:rsidRPr="00EE04E3">
        <w:rPr>
          <w:rFonts w:ascii="Arial" w:hAnsi="Arial" w:cs="Arial" w:hint="eastAsia"/>
          <w:color w:val="000000" w:themeColor="text1"/>
          <w:sz w:val="24"/>
          <w:szCs w:val="24"/>
          <w:lang w:bidi="hi-IN"/>
          <w14:ligatures w14:val="standardContextual"/>
        </w:rPr>
        <w:t xml:space="preserve"> </w:t>
      </w:r>
      <w:r>
        <w:rPr>
          <w:rFonts w:ascii="Arial" w:hAnsi="Arial" w:cs="Arial" w:hint="eastAsia"/>
          <w:color w:val="000000" w:themeColor="text1"/>
          <w:sz w:val="24"/>
          <w:szCs w:val="24"/>
          <w:lang w:bidi="hi-IN"/>
          <w14:ligatures w14:val="standardContextual"/>
        </w:rPr>
        <w:t xml:space="preserve">alleged </w:t>
      </w:r>
      <w:r w:rsidR="00EE04E3" w:rsidRPr="00EE04E3">
        <w:rPr>
          <w:rFonts w:ascii="Arial" w:hAnsi="Arial" w:cs="Arial"/>
          <w:color w:val="000000" w:themeColor="text1"/>
          <w:sz w:val="24"/>
          <w:szCs w:val="24"/>
          <w:lang w:bidi="hi-IN"/>
          <w14:ligatures w14:val="standardContextual"/>
        </w:rPr>
        <w:t xml:space="preserve">program is not limited to an industry, nor is the </w:t>
      </w:r>
      <w:r>
        <w:rPr>
          <w:rFonts w:ascii="Arial" w:hAnsi="Arial" w:cs="Arial" w:hint="eastAsia"/>
          <w:color w:val="000000" w:themeColor="text1"/>
          <w:sz w:val="24"/>
          <w:szCs w:val="24"/>
          <w:lang w:bidi="hi-IN"/>
          <w14:ligatures w14:val="standardContextual"/>
        </w:rPr>
        <w:t>Excavator</w:t>
      </w:r>
      <w:r w:rsidR="00EE04E3" w:rsidRPr="00EE04E3">
        <w:rPr>
          <w:rFonts w:ascii="Arial" w:hAnsi="Arial" w:cs="Arial"/>
          <w:color w:val="000000" w:themeColor="text1"/>
          <w:sz w:val="24"/>
          <w:szCs w:val="24"/>
          <w:lang w:bidi="hi-IN"/>
          <w14:ligatures w14:val="standardContextual"/>
        </w:rPr>
        <w:t xml:space="preserve"> industry a predominant user of</w:t>
      </w:r>
      <w:r w:rsidR="00EE04E3" w:rsidRPr="00EE04E3">
        <w:rPr>
          <w:rFonts w:ascii="Arial" w:hAnsi="Arial" w:cs="Arial" w:hint="eastAsia"/>
          <w:color w:val="000000" w:themeColor="text1"/>
          <w:sz w:val="24"/>
          <w:szCs w:val="24"/>
          <w:lang w:bidi="hi-IN"/>
          <w14:ligatures w14:val="standardContextual"/>
        </w:rPr>
        <w:t xml:space="preserve"> </w:t>
      </w:r>
      <w:r w:rsidR="00EE04E3" w:rsidRPr="00EE04E3">
        <w:rPr>
          <w:rFonts w:ascii="Arial" w:hAnsi="Arial" w:cs="Arial"/>
          <w:color w:val="000000" w:themeColor="text1"/>
          <w:sz w:val="24"/>
          <w:szCs w:val="24"/>
          <w:lang w:bidi="hi-IN"/>
          <w14:ligatures w14:val="standardContextual"/>
        </w:rPr>
        <w:t>this program or that it benefits disproportionately from it. Thus, international shipping for LTAR is not de facto specific.</w:t>
      </w:r>
    </w:p>
    <w:p w14:paraId="2351674C" w14:textId="77777777" w:rsidR="00EE04E3" w:rsidRPr="00EE04E3" w:rsidRDefault="00EE04E3" w:rsidP="00EE04E3">
      <w:pPr>
        <w:pStyle w:val="a9"/>
        <w:rPr>
          <w:rFonts w:ascii="Arial" w:hAnsi="Arial" w:cs="Arial"/>
          <w:color w:val="000000" w:themeColor="text1"/>
          <w:sz w:val="24"/>
          <w:szCs w:val="24"/>
          <w:lang w:bidi="hi-IN"/>
          <w14:ligatures w14:val="standardContextual"/>
        </w:rPr>
      </w:pPr>
    </w:p>
    <w:p w14:paraId="621D2EF0" w14:textId="258A733E" w:rsidR="00AD2E34" w:rsidRPr="00F23654" w:rsidRDefault="003A55D6" w:rsidP="00253B22">
      <w:pPr>
        <w:pStyle w:val="a9"/>
        <w:numPr>
          <w:ilvl w:val="0"/>
          <w:numId w:val="42"/>
        </w:numPr>
        <w:autoSpaceDE w:val="0"/>
        <w:autoSpaceDN w:val="0"/>
        <w:adjustRightInd w:val="0"/>
        <w:ind w:left="720" w:hanging="720"/>
        <w:contextualSpacing w:val="0"/>
        <w:rPr>
          <w:rFonts w:ascii="Arial" w:eastAsiaTheme="minorHAnsi" w:hAnsi="Arial" w:cs="Arial"/>
          <w:color w:val="000000" w:themeColor="text1"/>
          <w:sz w:val="24"/>
          <w:szCs w:val="24"/>
          <w:lang w:eastAsia="en-US" w:bidi="hi-IN"/>
          <w14:ligatures w14:val="standardContextual"/>
        </w:rPr>
      </w:pPr>
      <w:r>
        <w:rPr>
          <w:rFonts w:ascii="Arial" w:hAnsi="Arial" w:cs="Arial" w:hint="eastAsia"/>
          <w:color w:val="000000" w:themeColor="text1"/>
          <w:sz w:val="24"/>
          <w:szCs w:val="24"/>
          <w:lang w:bidi="hi-IN"/>
          <w14:ligatures w14:val="standardContextual"/>
        </w:rPr>
        <w:t>To conclude</w:t>
      </w:r>
      <w:r w:rsidR="001C12DE" w:rsidRPr="00F23654">
        <w:rPr>
          <w:rFonts w:ascii="Arial" w:hAnsi="Arial" w:cs="Arial"/>
          <w:color w:val="000000" w:themeColor="text1"/>
          <w:sz w:val="24"/>
          <w:szCs w:val="24"/>
          <w:lang w:bidi="hi-IN"/>
          <w14:ligatures w14:val="standardContextual"/>
        </w:rPr>
        <w:t>, the investigation in respect of this alleged scheme is in breach of the UK’s obligations under Articles 11.2, 11.3 and 11.6 of the SCM Agreement.</w:t>
      </w:r>
      <w:r w:rsidR="00A802DB" w:rsidRPr="00F23654">
        <w:rPr>
          <w:rFonts w:ascii="Arial" w:hAnsi="Arial" w:cs="Arial" w:hint="eastAsia"/>
          <w:color w:val="000000" w:themeColor="text1"/>
          <w:sz w:val="24"/>
          <w:szCs w:val="24"/>
          <w:lang w:bidi="hi-IN"/>
          <w14:ligatures w14:val="standardContextual"/>
        </w:rPr>
        <w:t xml:space="preserve"> T</w:t>
      </w:r>
      <w:r w:rsidR="00A802DB" w:rsidRPr="00F23654">
        <w:rPr>
          <w:rFonts w:ascii="Arial" w:eastAsiaTheme="minorHAnsi" w:hAnsi="Arial" w:cs="Arial"/>
          <w:color w:val="000000" w:themeColor="text1"/>
          <w:sz w:val="24"/>
          <w:szCs w:val="24"/>
          <w:lang w:eastAsia="en-US" w:bidi="hi-IN"/>
          <w14:ligatures w14:val="standardContextual"/>
        </w:rPr>
        <w:t>he investigation into this alleged but non-existent scheme is WTO-inconsistent.</w:t>
      </w:r>
    </w:p>
    <w:p w14:paraId="58E9A55B" w14:textId="77777777" w:rsidR="00BA0E9E" w:rsidRPr="00AD2E34" w:rsidRDefault="00BA0E9E" w:rsidP="00BA0E9E"/>
    <w:p w14:paraId="7A173CE8" w14:textId="05EC2CE2" w:rsidR="00BA0E9E" w:rsidRDefault="00F14CD2" w:rsidP="00F14CD2">
      <w:pPr>
        <w:pStyle w:val="3"/>
        <w:numPr>
          <w:ilvl w:val="0"/>
          <w:numId w:val="0"/>
        </w:numPr>
        <w:spacing w:before="0"/>
        <w:rPr>
          <w:rFonts w:ascii="Arial" w:eastAsiaTheme="minorEastAsia" w:hAnsi="Arial" w:cs="Arial"/>
          <w:b/>
          <w:bCs/>
          <w:color w:val="auto"/>
        </w:rPr>
      </w:pPr>
      <w:bookmarkStart w:id="41" w:name="_Toc161355135"/>
      <w:r>
        <w:rPr>
          <w:rFonts w:ascii="Arial" w:eastAsiaTheme="minorEastAsia" w:hAnsi="Arial" w:cs="Arial" w:hint="eastAsia"/>
          <w:b/>
          <w:bCs/>
          <w:color w:val="auto"/>
        </w:rPr>
        <w:t>3.6</w:t>
      </w:r>
      <w:r>
        <w:rPr>
          <w:rFonts w:ascii="Arial" w:eastAsiaTheme="minorEastAsia" w:hAnsi="Arial" w:cs="Arial"/>
          <w:b/>
          <w:bCs/>
          <w:color w:val="auto"/>
        </w:rPr>
        <w:tab/>
      </w:r>
      <w:r w:rsidRPr="00F14CD2">
        <w:rPr>
          <w:rFonts w:ascii="Arial" w:eastAsiaTheme="minorEastAsia" w:hAnsi="Arial" w:cs="Arial"/>
          <w:b/>
          <w:bCs/>
          <w:color w:val="auto"/>
        </w:rPr>
        <w:t>Other subsidies provided in special economic zones</w:t>
      </w:r>
      <w:bookmarkEnd w:id="41"/>
    </w:p>
    <w:p w14:paraId="62F08501" w14:textId="62BFCA37" w:rsidR="00BA0E9E" w:rsidRDefault="009F35B8" w:rsidP="00226C57">
      <w:pPr>
        <w:pStyle w:val="a9"/>
        <w:numPr>
          <w:ilvl w:val="0"/>
          <w:numId w:val="42"/>
        </w:numPr>
        <w:autoSpaceDE w:val="0"/>
        <w:autoSpaceDN w:val="0"/>
        <w:adjustRightInd w:val="0"/>
        <w:ind w:left="720" w:hanging="720"/>
        <w:contextualSpacing w:val="0"/>
        <w:rPr>
          <w:rFonts w:ascii="Arial" w:hAnsi="Arial" w:cs="Arial"/>
          <w:color w:val="000000" w:themeColor="text1"/>
          <w:sz w:val="24"/>
          <w:szCs w:val="24"/>
          <w:lang w:bidi="hi-IN"/>
          <w14:ligatures w14:val="standardContextual"/>
        </w:rPr>
      </w:pPr>
      <w:r w:rsidRPr="009F35B8">
        <w:rPr>
          <w:rFonts w:ascii="Arial" w:eastAsiaTheme="minorHAnsi" w:hAnsi="Arial" w:cs="Arial" w:hint="eastAsia"/>
          <w:color w:val="000000" w:themeColor="text1"/>
          <w:sz w:val="24"/>
          <w:szCs w:val="24"/>
          <w:lang w:bidi="hi-IN"/>
          <w14:ligatures w14:val="standardContextual"/>
        </w:rPr>
        <w:t xml:space="preserve">The </w:t>
      </w:r>
      <w:r>
        <w:rPr>
          <w:rFonts w:ascii="Arial" w:hAnsi="Arial" w:cs="Arial" w:hint="eastAsia"/>
          <w:color w:val="000000" w:themeColor="text1"/>
          <w:sz w:val="24"/>
          <w:szCs w:val="24"/>
          <w:lang w:bidi="hi-IN"/>
          <w14:ligatures w14:val="standardContextual"/>
        </w:rPr>
        <w:t xml:space="preserve">Applicant claims that </w:t>
      </w:r>
      <w:r w:rsidR="00F70EF5">
        <w:rPr>
          <w:rFonts w:ascii="Arial" w:hAnsi="Arial" w:cs="Arial" w:hint="eastAsia"/>
          <w:color w:val="000000" w:themeColor="text1"/>
          <w:sz w:val="24"/>
          <w:szCs w:val="24"/>
          <w:lang w:bidi="hi-IN"/>
          <w14:ligatures w14:val="standardContextual"/>
        </w:rPr>
        <w:t xml:space="preserve">the GOC provides </w:t>
      </w:r>
      <w:r w:rsidR="00114E8B" w:rsidRPr="00114E8B">
        <w:rPr>
          <w:rFonts w:ascii="Arial" w:hAnsi="Arial" w:cs="Arial"/>
          <w:color w:val="000000" w:themeColor="text1"/>
          <w:sz w:val="24"/>
          <w:szCs w:val="24"/>
          <w:lang w:bidi="hi-IN"/>
          <w14:ligatures w14:val="standardContextual"/>
        </w:rPr>
        <w:t>additional subsidies to companies located in SEZs</w:t>
      </w:r>
      <w:r w:rsidR="00114E8B">
        <w:rPr>
          <w:rFonts w:ascii="Arial" w:hAnsi="Arial" w:cs="Arial" w:hint="eastAsia"/>
          <w:color w:val="000000" w:themeColor="text1"/>
          <w:sz w:val="24"/>
          <w:szCs w:val="24"/>
          <w:lang w:bidi="hi-IN"/>
          <w14:ligatures w14:val="standardContextual"/>
        </w:rPr>
        <w:t>.</w:t>
      </w:r>
    </w:p>
    <w:p w14:paraId="51E47358" w14:textId="77777777" w:rsidR="00114E8B" w:rsidRDefault="00114E8B" w:rsidP="00114E8B">
      <w:pPr>
        <w:pStyle w:val="a9"/>
        <w:autoSpaceDE w:val="0"/>
        <w:autoSpaceDN w:val="0"/>
        <w:adjustRightInd w:val="0"/>
        <w:contextualSpacing w:val="0"/>
        <w:rPr>
          <w:rFonts w:ascii="Arial" w:hAnsi="Arial" w:cs="Arial"/>
          <w:color w:val="000000" w:themeColor="text1"/>
          <w:sz w:val="24"/>
          <w:szCs w:val="24"/>
          <w:lang w:bidi="hi-IN"/>
          <w14:ligatures w14:val="standardContextual"/>
        </w:rPr>
      </w:pPr>
    </w:p>
    <w:p w14:paraId="6A37AC2D" w14:textId="5D02FDC4" w:rsidR="00FC68C9" w:rsidRPr="00244855" w:rsidRDefault="00FC68C9" w:rsidP="00226C57">
      <w:pPr>
        <w:pStyle w:val="a9"/>
        <w:numPr>
          <w:ilvl w:val="0"/>
          <w:numId w:val="42"/>
        </w:numPr>
        <w:autoSpaceDE w:val="0"/>
        <w:autoSpaceDN w:val="0"/>
        <w:adjustRightInd w:val="0"/>
        <w:ind w:left="720" w:hanging="720"/>
        <w:contextualSpacing w:val="0"/>
        <w:rPr>
          <w:rFonts w:ascii="Arial" w:eastAsiaTheme="minorHAnsi" w:hAnsi="Arial" w:cs="Arial"/>
          <w:color w:val="000000" w:themeColor="text1"/>
          <w:sz w:val="24"/>
          <w:szCs w:val="24"/>
          <w:lang w:bidi="hi-IN"/>
          <w14:ligatures w14:val="standardContextual"/>
        </w:rPr>
      </w:pPr>
      <w:r w:rsidRPr="00244855">
        <w:rPr>
          <w:rFonts w:ascii="Arial" w:hAnsi="Arial" w:cs="Arial"/>
          <w:sz w:val="24"/>
        </w:rPr>
        <w:t xml:space="preserve">The GOC notes that the Applicant has failed to provide any evidence with respect to the existence, amount, and nature of the alleged </w:t>
      </w:r>
      <w:r w:rsidR="00244855">
        <w:rPr>
          <w:rFonts w:ascii="Arial" w:hAnsi="Arial" w:cs="Arial" w:hint="eastAsia"/>
          <w:sz w:val="24"/>
        </w:rPr>
        <w:t>subsidie</w:t>
      </w:r>
      <w:r w:rsidRPr="00244855">
        <w:rPr>
          <w:rFonts w:ascii="Arial" w:hAnsi="Arial" w:cs="Arial"/>
          <w:sz w:val="24"/>
        </w:rPr>
        <w:t xml:space="preserve">s. </w:t>
      </w:r>
      <w:r w:rsidRPr="00244855">
        <w:rPr>
          <w:rFonts w:ascii="Arial" w:hAnsi="Arial" w:cs="Arial"/>
          <w:spacing w:val="-9"/>
          <w:sz w:val="24"/>
        </w:rPr>
        <w:t xml:space="preserve">To </w:t>
      </w:r>
      <w:r w:rsidRPr="00244855">
        <w:rPr>
          <w:rFonts w:ascii="Arial" w:hAnsi="Arial" w:cs="Arial"/>
          <w:sz w:val="24"/>
        </w:rPr>
        <w:t xml:space="preserve">recall, </w:t>
      </w:r>
      <w:r w:rsidRPr="00244855">
        <w:rPr>
          <w:rFonts w:ascii="Arial" w:hAnsi="Arial" w:cs="Arial"/>
          <w:sz w:val="24"/>
        </w:rPr>
        <w:lastRenderedPageBreak/>
        <w:t xml:space="preserve">the Panel in </w:t>
      </w:r>
      <w:r w:rsidRPr="00244855">
        <w:rPr>
          <w:rFonts w:ascii="Arial" w:hAnsi="Arial" w:cs="Arial"/>
          <w:i/>
          <w:sz w:val="24"/>
        </w:rPr>
        <w:t xml:space="preserve">China – GOES </w:t>
      </w:r>
      <w:r w:rsidRPr="00244855">
        <w:rPr>
          <w:rFonts w:ascii="Arial" w:hAnsi="Arial" w:cs="Arial"/>
          <w:sz w:val="24"/>
        </w:rPr>
        <w:t xml:space="preserve">clarified that specific evidence concerning </w:t>
      </w:r>
      <w:r w:rsidRPr="00244855">
        <w:rPr>
          <w:rFonts w:ascii="Arial" w:hAnsi="Arial" w:cs="Arial"/>
          <w:sz w:val="24"/>
          <w:u w:val="single"/>
        </w:rPr>
        <w:t>all the three elements</w:t>
      </w:r>
      <w:r w:rsidRPr="00244855">
        <w:rPr>
          <w:rFonts w:ascii="Arial" w:hAnsi="Arial" w:cs="Arial"/>
          <w:sz w:val="24"/>
        </w:rPr>
        <w:t xml:space="preserve"> of subsidization must necessarily be provided in relation to </w:t>
      </w:r>
      <w:r w:rsidRPr="00244855">
        <w:rPr>
          <w:rFonts w:ascii="Arial" w:hAnsi="Arial" w:cs="Arial"/>
          <w:sz w:val="24"/>
          <w:u w:val="single"/>
        </w:rPr>
        <w:t>each subsidy</w:t>
      </w:r>
      <w:r w:rsidRPr="00244855">
        <w:rPr>
          <w:rFonts w:ascii="Arial" w:hAnsi="Arial" w:cs="Arial"/>
          <w:sz w:val="24"/>
        </w:rPr>
        <w:t xml:space="preserve"> even if there is a “</w:t>
      </w:r>
      <w:r w:rsidRPr="00244855">
        <w:rPr>
          <w:rFonts w:ascii="Arial" w:hAnsi="Arial" w:cs="Arial"/>
          <w:i/>
          <w:sz w:val="24"/>
        </w:rPr>
        <w:t>… pervasive government support</w:t>
      </w:r>
      <w:r w:rsidRPr="00244855">
        <w:rPr>
          <w:rFonts w:ascii="Arial" w:hAnsi="Arial" w:cs="Arial"/>
          <w:i/>
          <w:spacing w:val="-4"/>
          <w:sz w:val="24"/>
        </w:rPr>
        <w:t xml:space="preserve"> </w:t>
      </w:r>
      <w:r w:rsidRPr="00244855">
        <w:rPr>
          <w:rFonts w:ascii="Arial" w:hAnsi="Arial" w:cs="Arial"/>
          <w:i/>
          <w:sz w:val="24"/>
        </w:rPr>
        <w:t>to</w:t>
      </w:r>
      <w:r w:rsidRPr="00244855">
        <w:rPr>
          <w:rFonts w:ascii="Arial" w:hAnsi="Arial" w:cs="Arial"/>
          <w:i/>
          <w:spacing w:val="-5"/>
          <w:sz w:val="24"/>
        </w:rPr>
        <w:t xml:space="preserve"> </w:t>
      </w:r>
      <w:r w:rsidRPr="00244855">
        <w:rPr>
          <w:rFonts w:ascii="Arial" w:hAnsi="Arial" w:cs="Arial"/>
          <w:i/>
          <w:sz w:val="24"/>
        </w:rPr>
        <w:t>the</w:t>
      </w:r>
      <w:r w:rsidRPr="00244855">
        <w:rPr>
          <w:rFonts w:ascii="Arial" w:hAnsi="Arial" w:cs="Arial"/>
          <w:i/>
          <w:spacing w:val="-4"/>
          <w:sz w:val="24"/>
        </w:rPr>
        <w:t xml:space="preserve"> </w:t>
      </w:r>
      <w:r w:rsidRPr="00244855">
        <w:rPr>
          <w:rFonts w:ascii="Arial" w:hAnsi="Arial" w:cs="Arial"/>
          <w:i/>
          <w:sz w:val="24"/>
        </w:rPr>
        <w:t>[…]</w:t>
      </w:r>
      <w:r w:rsidRPr="00244855">
        <w:rPr>
          <w:rFonts w:ascii="Arial" w:hAnsi="Arial" w:cs="Arial"/>
          <w:i/>
          <w:spacing w:val="-4"/>
          <w:sz w:val="24"/>
        </w:rPr>
        <w:t xml:space="preserve"> </w:t>
      </w:r>
      <w:r w:rsidRPr="00244855">
        <w:rPr>
          <w:rFonts w:ascii="Arial" w:hAnsi="Arial" w:cs="Arial"/>
          <w:i/>
          <w:sz w:val="24"/>
        </w:rPr>
        <w:t>industry</w:t>
      </w:r>
      <w:r w:rsidRPr="00244855">
        <w:rPr>
          <w:rFonts w:ascii="Arial" w:hAnsi="Arial" w:cs="Arial"/>
          <w:sz w:val="24"/>
        </w:rPr>
        <w:t>”</w:t>
      </w:r>
      <w:r w:rsidRPr="00244855">
        <w:rPr>
          <w:rFonts w:ascii="Arial" w:hAnsi="Arial" w:cs="Arial"/>
          <w:spacing w:val="-5"/>
          <w:sz w:val="24"/>
        </w:rPr>
        <w:t xml:space="preserve"> </w:t>
      </w:r>
      <w:r w:rsidRPr="00244855">
        <w:rPr>
          <w:rFonts w:ascii="Arial" w:hAnsi="Arial" w:cs="Arial"/>
          <w:sz w:val="24"/>
        </w:rPr>
        <w:t>(</w:t>
      </w:r>
      <w:r w:rsidRPr="00244855">
        <w:rPr>
          <w:rFonts w:ascii="Arial" w:hAnsi="Arial" w:cs="Arial"/>
          <w:i/>
          <w:sz w:val="24"/>
        </w:rPr>
        <w:t>quod</w:t>
      </w:r>
      <w:r w:rsidRPr="00244855">
        <w:rPr>
          <w:rFonts w:ascii="Arial" w:hAnsi="Arial" w:cs="Arial"/>
          <w:i/>
          <w:spacing w:val="-3"/>
          <w:sz w:val="24"/>
        </w:rPr>
        <w:t xml:space="preserve"> </w:t>
      </w:r>
      <w:r w:rsidRPr="00244855">
        <w:rPr>
          <w:rFonts w:ascii="Arial" w:hAnsi="Arial" w:cs="Arial"/>
          <w:i/>
          <w:sz w:val="24"/>
        </w:rPr>
        <w:t>non</w:t>
      </w:r>
      <w:r w:rsidRPr="00244855">
        <w:rPr>
          <w:rFonts w:ascii="Arial" w:hAnsi="Arial" w:cs="Arial"/>
          <w:sz w:val="24"/>
        </w:rPr>
        <w:t>).</w:t>
      </w:r>
      <w:r w:rsidRPr="00244855">
        <w:rPr>
          <w:rFonts w:ascii="Arial" w:hAnsi="Arial" w:cs="Arial"/>
          <w:sz w:val="24"/>
          <w:vertAlign w:val="superscript"/>
        </w:rPr>
        <w:t>68</w:t>
      </w:r>
      <w:r w:rsidRPr="00244855">
        <w:rPr>
          <w:rFonts w:ascii="Arial" w:hAnsi="Arial" w:cs="Arial"/>
          <w:spacing w:val="-1"/>
          <w:sz w:val="24"/>
        </w:rPr>
        <w:t xml:space="preserve"> </w:t>
      </w:r>
      <w:r w:rsidRPr="00244855">
        <w:rPr>
          <w:rFonts w:ascii="Arial" w:hAnsi="Arial" w:cs="Arial"/>
          <w:sz w:val="24"/>
        </w:rPr>
        <w:t>However,</w:t>
      </w:r>
      <w:r w:rsidRPr="00244855">
        <w:rPr>
          <w:rFonts w:ascii="Arial" w:hAnsi="Arial" w:cs="Arial"/>
          <w:spacing w:val="-4"/>
          <w:sz w:val="24"/>
        </w:rPr>
        <w:t xml:space="preserve"> </w:t>
      </w:r>
      <w:r w:rsidRPr="00244855">
        <w:rPr>
          <w:rFonts w:ascii="Arial" w:hAnsi="Arial" w:cs="Arial"/>
          <w:sz w:val="24"/>
        </w:rPr>
        <w:t>the</w:t>
      </w:r>
      <w:r w:rsidRPr="00244855">
        <w:rPr>
          <w:rFonts w:ascii="Arial" w:hAnsi="Arial" w:cs="Arial"/>
          <w:spacing w:val="-17"/>
          <w:sz w:val="24"/>
        </w:rPr>
        <w:t xml:space="preserve"> </w:t>
      </w:r>
      <w:r w:rsidRPr="00244855">
        <w:rPr>
          <w:rFonts w:ascii="Arial" w:hAnsi="Arial" w:cs="Arial"/>
          <w:sz w:val="24"/>
        </w:rPr>
        <w:t>Applicant</w:t>
      </w:r>
      <w:r w:rsidRPr="00244855">
        <w:rPr>
          <w:rFonts w:ascii="Arial" w:hAnsi="Arial" w:cs="Arial"/>
          <w:spacing w:val="-3"/>
          <w:sz w:val="24"/>
        </w:rPr>
        <w:t xml:space="preserve"> </w:t>
      </w:r>
      <w:r w:rsidR="00FC3F73">
        <w:rPr>
          <w:rFonts w:ascii="Arial" w:hAnsi="Arial" w:cs="Arial" w:hint="eastAsia"/>
          <w:spacing w:val="-3"/>
          <w:sz w:val="24"/>
        </w:rPr>
        <w:t xml:space="preserve">merely </w:t>
      </w:r>
      <w:r w:rsidR="00FC3F73">
        <w:rPr>
          <w:rFonts w:ascii="Arial" w:hAnsi="Arial" w:cs="Arial"/>
          <w:spacing w:val="-3"/>
          <w:sz w:val="24"/>
        </w:rPr>
        <w:t>alleged</w:t>
      </w:r>
      <w:r w:rsidR="00FC3F73">
        <w:rPr>
          <w:rFonts w:ascii="Arial" w:hAnsi="Arial" w:cs="Arial" w:hint="eastAsia"/>
          <w:spacing w:val="-3"/>
          <w:sz w:val="24"/>
        </w:rPr>
        <w:t xml:space="preserve"> that </w:t>
      </w:r>
      <w:r w:rsidRPr="00244855">
        <w:rPr>
          <w:rFonts w:ascii="Arial" w:hAnsi="Arial" w:cs="Arial"/>
          <w:sz w:val="24"/>
        </w:rPr>
        <w:t>certain Chinese companies</w:t>
      </w:r>
      <w:r w:rsidR="00FC3F73">
        <w:rPr>
          <w:rFonts w:ascii="Arial" w:hAnsi="Arial" w:cs="Arial" w:hint="eastAsia"/>
          <w:sz w:val="24"/>
        </w:rPr>
        <w:t xml:space="preserve"> are located in SZEs, </w:t>
      </w:r>
      <w:r w:rsidR="00FC3F73">
        <w:rPr>
          <w:rFonts w:ascii="Arial" w:hAnsi="Arial" w:cs="Arial"/>
          <w:sz w:val="24"/>
        </w:rPr>
        <w:t>without</w:t>
      </w:r>
      <w:r w:rsidR="00FC3F73">
        <w:rPr>
          <w:rFonts w:ascii="Arial" w:hAnsi="Arial" w:cs="Arial" w:hint="eastAsia"/>
          <w:sz w:val="24"/>
        </w:rPr>
        <w:t xml:space="preserve"> any necessary information </w:t>
      </w:r>
      <w:r w:rsidR="00FC3F73" w:rsidRPr="00244855">
        <w:rPr>
          <w:rFonts w:ascii="Arial" w:hAnsi="Arial" w:cs="Arial"/>
          <w:sz w:val="24"/>
        </w:rPr>
        <w:t xml:space="preserve">and data to conclude that Chinese </w:t>
      </w:r>
      <w:r w:rsidR="00FC3F73">
        <w:rPr>
          <w:rFonts w:ascii="Arial" w:hAnsi="Arial" w:cs="Arial" w:hint="eastAsia"/>
          <w:sz w:val="24"/>
        </w:rPr>
        <w:t>Excavator producers</w:t>
      </w:r>
      <w:r w:rsidR="00FC3F73" w:rsidRPr="00244855">
        <w:rPr>
          <w:rFonts w:ascii="Arial" w:hAnsi="Arial" w:cs="Arial"/>
          <w:sz w:val="24"/>
        </w:rPr>
        <w:t xml:space="preserve"> received</w:t>
      </w:r>
      <w:r w:rsidR="00FC3F73" w:rsidRPr="00244855">
        <w:rPr>
          <w:rFonts w:ascii="Arial" w:hAnsi="Arial" w:cs="Arial"/>
          <w:spacing w:val="-17"/>
          <w:sz w:val="24"/>
        </w:rPr>
        <w:t xml:space="preserve"> </w:t>
      </w:r>
      <w:r w:rsidR="00FC3F73" w:rsidRPr="00FC3F73">
        <w:rPr>
          <w:rFonts w:ascii="Arial" w:hAnsi="Arial" w:cs="Arial" w:hint="eastAsia"/>
          <w:sz w:val="24"/>
        </w:rPr>
        <w:t xml:space="preserve">alleged </w:t>
      </w:r>
      <w:r w:rsidR="00FC3F73" w:rsidRPr="00244855">
        <w:rPr>
          <w:rFonts w:ascii="Arial" w:hAnsi="Arial" w:cs="Arial"/>
          <w:sz w:val="24"/>
        </w:rPr>
        <w:t>subsidies.</w:t>
      </w:r>
      <w:r w:rsidRPr="00244855">
        <w:rPr>
          <w:rFonts w:ascii="Arial" w:hAnsi="Arial" w:cs="Arial"/>
          <w:sz w:val="24"/>
        </w:rPr>
        <w:t xml:space="preserve"> </w:t>
      </w:r>
    </w:p>
    <w:p w14:paraId="74D5365A" w14:textId="77777777" w:rsidR="00FC68C9" w:rsidRPr="00FC68C9" w:rsidRDefault="00FC68C9" w:rsidP="00FC68C9">
      <w:pPr>
        <w:pStyle w:val="a9"/>
        <w:rPr>
          <w:rFonts w:ascii="Arial" w:eastAsiaTheme="minorHAnsi" w:hAnsi="Arial" w:cs="Arial"/>
          <w:color w:val="000000" w:themeColor="text1"/>
          <w:sz w:val="24"/>
          <w:szCs w:val="24"/>
          <w:lang w:bidi="hi-IN"/>
          <w14:ligatures w14:val="standardContextual"/>
        </w:rPr>
      </w:pPr>
    </w:p>
    <w:p w14:paraId="20854D3A" w14:textId="107C7DAF" w:rsidR="0001712F" w:rsidRPr="00EE01FE" w:rsidRDefault="00EE01FE" w:rsidP="00226C57">
      <w:pPr>
        <w:pStyle w:val="a9"/>
        <w:numPr>
          <w:ilvl w:val="0"/>
          <w:numId w:val="42"/>
        </w:numPr>
        <w:autoSpaceDE w:val="0"/>
        <w:autoSpaceDN w:val="0"/>
        <w:adjustRightInd w:val="0"/>
        <w:ind w:left="720" w:hanging="720"/>
        <w:contextualSpacing w:val="0"/>
        <w:rPr>
          <w:rFonts w:ascii="Arial" w:eastAsiaTheme="minorHAnsi" w:hAnsi="Arial" w:cs="Arial"/>
          <w:color w:val="000000" w:themeColor="text1"/>
          <w:sz w:val="24"/>
          <w:szCs w:val="24"/>
          <w:lang w:bidi="hi-IN"/>
          <w14:ligatures w14:val="standardContextual"/>
        </w:rPr>
      </w:pPr>
      <w:r>
        <w:rPr>
          <w:rFonts w:ascii="Arial" w:hAnsi="Arial" w:cs="Arial" w:hint="eastAsia"/>
          <w:color w:val="000000" w:themeColor="text1"/>
          <w:sz w:val="24"/>
          <w:szCs w:val="24"/>
          <w:lang w:bidi="hi-IN"/>
          <w14:ligatures w14:val="standardContextual"/>
        </w:rPr>
        <w:t>T</w:t>
      </w:r>
      <w:r w:rsidR="0001712F" w:rsidRPr="0001712F">
        <w:rPr>
          <w:rFonts w:ascii="Arial" w:eastAsiaTheme="minorHAnsi" w:hAnsi="Arial" w:cs="Arial"/>
          <w:color w:val="000000" w:themeColor="text1"/>
          <w:sz w:val="24"/>
          <w:szCs w:val="24"/>
          <w:lang w:bidi="hi-IN"/>
          <w14:ligatures w14:val="standardContextual"/>
        </w:rPr>
        <w:t xml:space="preserve">he identification of a grant and the granting authority are basic elements to be evidenced because they connect to the key assessment pillar concerning specificity of an alleged subsidy. The TRA has a certain amount of discretion to assess the adequacy and accuracy of the allegations in the Application. However, it cannot act in the absence of any evidence and base itself merely on the </w:t>
      </w:r>
      <w:r w:rsidR="0001712F">
        <w:rPr>
          <w:rFonts w:ascii="Arial" w:hAnsi="Arial" w:cs="Arial" w:hint="eastAsia"/>
          <w:color w:val="000000" w:themeColor="text1"/>
          <w:sz w:val="24"/>
          <w:szCs w:val="24"/>
          <w:lang w:bidi="hi-IN"/>
          <w14:ligatures w14:val="standardContextual"/>
        </w:rPr>
        <w:t>Applicant</w:t>
      </w:r>
      <w:r w:rsidR="0001712F">
        <w:rPr>
          <w:rFonts w:ascii="Arial" w:hAnsi="Arial" w:cs="Arial"/>
          <w:color w:val="000000" w:themeColor="text1"/>
          <w:sz w:val="24"/>
          <w:szCs w:val="24"/>
          <w:lang w:bidi="hi-IN"/>
          <w14:ligatures w14:val="standardContextual"/>
        </w:rPr>
        <w:t>’</w:t>
      </w:r>
      <w:r w:rsidR="0001712F">
        <w:rPr>
          <w:rFonts w:ascii="Arial" w:hAnsi="Arial" w:cs="Arial" w:hint="eastAsia"/>
          <w:color w:val="000000" w:themeColor="text1"/>
          <w:sz w:val="24"/>
          <w:szCs w:val="24"/>
          <w:lang w:bidi="hi-IN"/>
          <w14:ligatures w14:val="standardContextual"/>
        </w:rPr>
        <w:t>s assertion</w:t>
      </w:r>
      <w:r w:rsidR="0001712F" w:rsidRPr="0001712F">
        <w:rPr>
          <w:rFonts w:ascii="Arial" w:eastAsiaTheme="minorHAnsi" w:hAnsi="Arial" w:cs="Arial"/>
          <w:color w:val="000000" w:themeColor="text1"/>
          <w:sz w:val="24"/>
          <w:szCs w:val="24"/>
          <w:lang w:bidi="hi-IN"/>
          <w14:ligatures w14:val="standardContextual"/>
        </w:rPr>
        <w:t>, especially when the Applicant claims sweepingly that those are national, local, or regional grants.</w:t>
      </w:r>
    </w:p>
    <w:p w14:paraId="46D4CADB" w14:textId="77777777" w:rsidR="00EE01FE" w:rsidRPr="00EE01FE" w:rsidRDefault="00EE01FE" w:rsidP="00EE01FE">
      <w:pPr>
        <w:pStyle w:val="a9"/>
        <w:rPr>
          <w:rFonts w:ascii="Arial" w:eastAsiaTheme="minorHAnsi" w:hAnsi="Arial" w:cs="Arial"/>
          <w:color w:val="000000" w:themeColor="text1"/>
          <w:sz w:val="24"/>
          <w:szCs w:val="24"/>
          <w:lang w:bidi="hi-IN"/>
          <w14:ligatures w14:val="standardContextual"/>
        </w:rPr>
      </w:pPr>
    </w:p>
    <w:p w14:paraId="6E29CDC1" w14:textId="7E4CC91E" w:rsidR="00EE01FE" w:rsidRPr="00EE01FE" w:rsidRDefault="00EE01FE" w:rsidP="00226C57">
      <w:pPr>
        <w:pStyle w:val="a9"/>
        <w:numPr>
          <w:ilvl w:val="0"/>
          <w:numId w:val="42"/>
        </w:numPr>
        <w:autoSpaceDE w:val="0"/>
        <w:autoSpaceDN w:val="0"/>
        <w:adjustRightInd w:val="0"/>
        <w:ind w:left="720" w:hanging="720"/>
        <w:contextualSpacing w:val="0"/>
        <w:rPr>
          <w:rFonts w:ascii="Arial" w:eastAsiaTheme="minorHAnsi" w:hAnsi="Arial" w:cs="Arial"/>
          <w:color w:val="000000" w:themeColor="text1"/>
          <w:sz w:val="24"/>
          <w:szCs w:val="24"/>
          <w:lang w:bidi="hi-IN"/>
          <w14:ligatures w14:val="standardContextual"/>
        </w:rPr>
      </w:pPr>
      <w:r w:rsidRPr="00EE01FE">
        <w:rPr>
          <w:rFonts w:ascii="Arial" w:eastAsiaTheme="minorHAnsi" w:hAnsi="Arial" w:cs="Arial"/>
          <w:color w:val="000000" w:themeColor="text1"/>
          <w:sz w:val="24"/>
          <w:szCs w:val="24"/>
          <w:lang w:bidi="hi-IN"/>
          <w14:ligatures w14:val="standardContextual"/>
        </w:rPr>
        <w:t>Moreover, the Panel in China – GOES has clarified that the mere fact that a company is located in a province and/or is prominent in a province and may even be an eligible user of a program is not evidence of de facto specificity.</w:t>
      </w:r>
      <w:r>
        <w:rPr>
          <w:rStyle w:val="ab"/>
          <w:rFonts w:ascii="Arial" w:eastAsiaTheme="minorHAnsi" w:hAnsi="Arial" w:cs="Arial"/>
          <w:color w:val="000000" w:themeColor="text1"/>
          <w:sz w:val="24"/>
          <w:szCs w:val="24"/>
          <w:lang w:bidi="hi-IN"/>
          <w14:ligatures w14:val="standardContextual"/>
        </w:rPr>
        <w:footnoteReference w:id="71"/>
      </w:r>
      <w:r w:rsidRPr="00EE01FE">
        <w:rPr>
          <w:rFonts w:ascii="Arial" w:eastAsiaTheme="minorHAnsi" w:hAnsi="Arial" w:cs="Arial"/>
          <w:color w:val="000000" w:themeColor="text1"/>
          <w:sz w:val="24"/>
          <w:szCs w:val="24"/>
          <w:lang w:bidi="hi-IN"/>
          <w14:ligatures w14:val="standardContextual"/>
        </w:rPr>
        <w:t xml:space="preserve"> To the extent that a supposed grant was given by a regional or local authority, the grant will not be automatically specific. Indeed, in the context of regional specificity, as noted by the Appellate Body, if a subsidy is available to all enterprises in that region, it will not be specific and thus not countervailable.</w:t>
      </w:r>
      <w:r>
        <w:rPr>
          <w:rStyle w:val="ab"/>
          <w:rFonts w:ascii="Arial" w:eastAsiaTheme="minorHAnsi" w:hAnsi="Arial" w:cs="Arial"/>
          <w:color w:val="000000" w:themeColor="text1"/>
          <w:sz w:val="24"/>
          <w:szCs w:val="24"/>
          <w:lang w:bidi="hi-IN"/>
          <w14:ligatures w14:val="standardContextual"/>
        </w:rPr>
        <w:footnoteReference w:id="72"/>
      </w:r>
    </w:p>
    <w:p w14:paraId="34F076B9" w14:textId="77777777" w:rsidR="0001712F" w:rsidRPr="0001712F" w:rsidRDefault="0001712F" w:rsidP="0001712F">
      <w:pPr>
        <w:pStyle w:val="a9"/>
        <w:rPr>
          <w:rFonts w:ascii="Arial" w:eastAsiaTheme="minorHAnsi" w:hAnsi="Arial" w:cs="Arial"/>
          <w:color w:val="000000" w:themeColor="text1"/>
          <w:sz w:val="24"/>
          <w:szCs w:val="24"/>
          <w:lang w:bidi="hi-IN"/>
          <w14:ligatures w14:val="standardContextual"/>
        </w:rPr>
      </w:pPr>
    </w:p>
    <w:p w14:paraId="0711B555" w14:textId="001F2850" w:rsidR="00114E8B" w:rsidRPr="007B155E" w:rsidRDefault="00EE01FE" w:rsidP="00226C57">
      <w:pPr>
        <w:pStyle w:val="a9"/>
        <w:numPr>
          <w:ilvl w:val="0"/>
          <w:numId w:val="42"/>
        </w:numPr>
        <w:autoSpaceDE w:val="0"/>
        <w:autoSpaceDN w:val="0"/>
        <w:adjustRightInd w:val="0"/>
        <w:ind w:left="720" w:hanging="720"/>
        <w:contextualSpacing w:val="0"/>
        <w:rPr>
          <w:rFonts w:ascii="Arial" w:eastAsiaTheme="minorHAnsi" w:hAnsi="Arial" w:cs="Arial"/>
          <w:color w:val="000000" w:themeColor="text1"/>
          <w:sz w:val="24"/>
          <w:szCs w:val="24"/>
          <w:lang w:bidi="hi-IN"/>
          <w14:ligatures w14:val="standardContextual"/>
        </w:rPr>
      </w:pPr>
      <w:r>
        <w:rPr>
          <w:rFonts w:ascii="Arial" w:hAnsi="Arial" w:cs="Arial" w:hint="eastAsia"/>
          <w:color w:val="000000" w:themeColor="text1"/>
          <w:sz w:val="24"/>
          <w:szCs w:val="24"/>
          <w:lang w:bidi="hi-IN"/>
          <w14:ligatures w14:val="standardContextual"/>
        </w:rPr>
        <w:t>T</w:t>
      </w:r>
      <w:r w:rsidRPr="00EE01FE">
        <w:rPr>
          <w:rFonts w:ascii="Arial" w:hAnsi="Arial" w:cs="Arial"/>
          <w:color w:val="000000" w:themeColor="text1"/>
          <w:sz w:val="24"/>
          <w:szCs w:val="24"/>
          <w:lang w:bidi="hi-IN"/>
          <w14:ligatures w14:val="standardContextual"/>
        </w:rPr>
        <w:t>he GOC respectfully submits that, overall, the mandatory evidentiary standard of providing evidence on the nature and existence of the alleged grants has not been met. Thus, the investigation into the grants, and consequently their possible countervailing by the TRA, will be WTO-inconsistent.</w:t>
      </w:r>
    </w:p>
    <w:p w14:paraId="4D66328E" w14:textId="77777777" w:rsidR="00114E8B" w:rsidRPr="00114E8B" w:rsidRDefault="00114E8B" w:rsidP="00FC68C9">
      <w:pPr>
        <w:pStyle w:val="a9"/>
        <w:autoSpaceDE w:val="0"/>
        <w:autoSpaceDN w:val="0"/>
        <w:adjustRightInd w:val="0"/>
        <w:ind w:left="644"/>
        <w:rPr>
          <w:rFonts w:ascii="Arial" w:hAnsi="Arial" w:cs="Arial"/>
          <w:color w:val="000000" w:themeColor="text1"/>
          <w:sz w:val="24"/>
          <w:szCs w:val="24"/>
          <w:lang w:bidi="hi-IN"/>
          <w14:ligatures w14:val="standardContextual"/>
        </w:rPr>
      </w:pPr>
    </w:p>
    <w:p w14:paraId="39D8256A" w14:textId="1235304C" w:rsidR="00813A40" w:rsidRDefault="00813A40" w:rsidP="00D24DAA">
      <w:pPr>
        <w:pStyle w:val="1"/>
        <w:numPr>
          <w:ilvl w:val="0"/>
          <w:numId w:val="38"/>
        </w:numPr>
        <w:tabs>
          <w:tab w:val="left" w:pos="1348"/>
          <w:tab w:val="left" w:pos="1349"/>
        </w:tabs>
        <w:ind w:hanging="153"/>
        <w:rPr>
          <w:u w:val="thick"/>
        </w:rPr>
      </w:pPr>
      <w:bookmarkStart w:id="42" w:name="_Toc161355136"/>
      <w:r>
        <w:rPr>
          <w:u w:val="thick"/>
        </w:rPr>
        <w:lastRenderedPageBreak/>
        <w:t>CONCLUSION</w:t>
      </w:r>
      <w:bookmarkEnd w:id="42"/>
    </w:p>
    <w:p w14:paraId="524D5EEA" w14:textId="77777777" w:rsidR="00813A40" w:rsidRPr="00813A40" w:rsidRDefault="00813A40" w:rsidP="00813A40">
      <w:pPr>
        <w:rPr>
          <w:lang w:val="en-GB"/>
        </w:rPr>
      </w:pPr>
    </w:p>
    <w:p w14:paraId="53AE9717" w14:textId="62DE5D0E" w:rsidR="00813A40" w:rsidRPr="00F23654" w:rsidRDefault="00813A40" w:rsidP="009906F6">
      <w:pPr>
        <w:pStyle w:val="a9"/>
        <w:numPr>
          <w:ilvl w:val="0"/>
          <w:numId w:val="42"/>
        </w:numPr>
        <w:autoSpaceDE w:val="0"/>
        <w:autoSpaceDN w:val="0"/>
        <w:adjustRightInd w:val="0"/>
        <w:ind w:left="720" w:hanging="720"/>
        <w:contextualSpacing w:val="0"/>
        <w:rPr>
          <w:rFonts w:ascii="Arial" w:hAnsi="Arial" w:cs="Arial"/>
          <w:sz w:val="24"/>
          <w:szCs w:val="24"/>
        </w:rPr>
      </w:pPr>
      <w:r w:rsidRPr="00F23654">
        <w:rPr>
          <w:rFonts w:ascii="Arial" w:eastAsiaTheme="minorHAnsi" w:hAnsi="Arial" w:cs="Arial"/>
          <w:color w:val="000000" w:themeColor="text1"/>
          <w:sz w:val="24"/>
          <w:szCs w:val="24"/>
          <w:lang w:bidi="hi-IN"/>
          <w14:ligatures w14:val="standardContextual"/>
        </w:rPr>
        <w:t xml:space="preserve">For the reasons given above, the GOC considers that the AS complaint against </w:t>
      </w:r>
      <w:r w:rsidRPr="00F23654">
        <w:rPr>
          <w:rFonts w:ascii="Arial" w:eastAsiaTheme="minorHAnsi" w:hAnsi="Arial" w:cs="Arial" w:hint="eastAsia"/>
          <w:color w:val="000000" w:themeColor="text1"/>
          <w:sz w:val="24"/>
          <w:szCs w:val="24"/>
          <w:lang w:bidi="hi-IN"/>
          <w14:ligatures w14:val="standardContextual"/>
        </w:rPr>
        <w:t>Excavator</w:t>
      </w:r>
      <w:r w:rsidRPr="00F23654">
        <w:rPr>
          <w:rFonts w:ascii="Arial" w:eastAsiaTheme="minorHAnsi" w:hAnsi="Arial" w:cs="Arial"/>
          <w:color w:val="000000" w:themeColor="text1"/>
          <w:sz w:val="24"/>
          <w:szCs w:val="24"/>
          <w:lang w:bidi="hi-IN"/>
          <w14:ligatures w14:val="standardContextual"/>
        </w:rPr>
        <w:t xml:space="preserve"> products from China does not meet the requirements of the SCM Agreement and the relevant UK provisions. Accordingly, the GOC respectfully requests the TRA to terminate the present AS investigation without imposing AS measures on </w:t>
      </w:r>
      <w:r w:rsidR="00A267E9" w:rsidRPr="00F23654">
        <w:rPr>
          <w:rFonts w:ascii="Arial" w:hAnsi="Arial" w:cs="Arial" w:hint="eastAsia"/>
          <w:color w:val="000000" w:themeColor="text1"/>
          <w:sz w:val="24"/>
          <w:szCs w:val="24"/>
          <w:lang w:bidi="hi-IN"/>
          <w14:ligatures w14:val="standardContextual"/>
        </w:rPr>
        <w:t>E</w:t>
      </w:r>
      <w:r w:rsidR="00F14CD2" w:rsidRPr="00F23654">
        <w:rPr>
          <w:rFonts w:ascii="Arial" w:hAnsi="Arial" w:cs="Arial" w:hint="eastAsia"/>
          <w:color w:val="000000" w:themeColor="text1"/>
          <w:sz w:val="24"/>
          <w:szCs w:val="24"/>
          <w:lang w:bidi="hi-IN"/>
          <w14:ligatures w14:val="standardContextual"/>
        </w:rPr>
        <w:t>x</w:t>
      </w:r>
      <w:r w:rsidR="00A267E9" w:rsidRPr="00F23654">
        <w:rPr>
          <w:rFonts w:ascii="Arial" w:hAnsi="Arial" w:cs="Arial" w:hint="eastAsia"/>
          <w:color w:val="000000" w:themeColor="text1"/>
          <w:sz w:val="24"/>
          <w:szCs w:val="24"/>
          <w:lang w:bidi="hi-IN"/>
          <w14:ligatures w14:val="standardContextual"/>
        </w:rPr>
        <w:t>cavator</w:t>
      </w:r>
      <w:r w:rsidRPr="00F23654">
        <w:rPr>
          <w:rFonts w:ascii="Arial" w:eastAsiaTheme="minorHAnsi" w:hAnsi="Arial" w:cs="Arial"/>
          <w:color w:val="000000" w:themeColor="text1"/>
          <w:sz w:val="24"/>
          <w:szCs w:val="24"/>
          <w:lang w:bidi="hi-IN"/>
          <w14:ligatures w14:val="standardContextual"/>
        </w:rPr>
        <w:t xml:space="preserve"> imports from China.</w:t>
      </w:r>
    </w:p>
    <w:sectPr w:rsidR="00813A40" w:rsidRPr="00F23654" w:rsidSect="00874790">
      <w:headerReference w:type="default" r:id="rId9"/>
      <w:footerReference w:type="default" r:id="rId1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88230" w14:textId="77777777" w:rsidR="00874790" w:rsidRDefault="00874790" w:rsidP="00D40EF5">
      <w:pPr>
        <w:spacing w:line="240" w:lineRule="auto"/>
      </w:pPr>
      <w:r>
        <w:separator/>
      </w:r>
    </w:p>
  </w:endnote>
  <w:endnote w:type="continuationSeparator" w:id="0">
    <w:p w14:paraId="08A053D9" w14:textId="77777777" w:rsidR="00874790" w:rsidRDefault="00874790" w:rsidP="00D40E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Myriad Pro">
    <w:altName w:val="Segoe UI"/>
    <w:panose1 w:val="00000000000000000000"/>
    <w:charset w:val="00"/>
    <w:family w:val="roman"/>
    <w:notTrueType/>
    <w:pitch w:val="default"/>
    <w:sig w:usb0="00000003" w:usb1="00000000" w:usb2="00000000" w:usb3="00000000" w:csb0="00000001" w:csb1="00000000"/>
  </w:font>
  <w:font w:name="华文楷体">
    <w:altName w:val="STKaiti"/>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Arial-Italic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0841309"/>
      <w:docPartObj>
        <w:docPartGallery w:val="Page Numbers (Bottom of Page)"/>
        <w:docPartUnique/>
      </w:docPartObj>
    </w:sdtPr>
    <w:sdtEndPr>
      <w:rPr>
        <w:rFonts w:ascii="Arial" w:hAnsi="Arial" w:cs="Arial"/>
        <w:noProof/>
        <w:sz w:val="20"/>
        <w:szCs w:val="20"/>
      </w:rPr>
    </w:sdtEndPr>
    <w:sdtContent>
      <w:p w14:paraId="15559998" w14:textId="77777777" w:rsidR="00066E7E" w:rsidRDefault="00066E7E">
        <w:pPr>
          <w:pStyle w:val="af"/>
          <w:jc w:val="center"/>
        </w:pPr>
      </w:p>
      <w:p w14:paraId="512027B2" w14:textId="77777777" w:rsidR="00066E7E" w:rsidRDefault="00066E7E">
        <w:pPr>
          <w:pStyle w:val="af"/>
          <w:jc w:val="center"/>
        </w:pPr>
      </w:p>
      <w:p w14:paraId="68DBF121" w14:textId="69FAAF33" w:rsidR="00E320CF" w:rsidRPr="00E320CF" w:rsidRDefault="00E320CF">
        <w:pPr>
          <w:pStyle w:val="af"/>
          <w:jc w:val="center"/>
          <w:rPr>
            <w:rFonts w:ascii="Arial" w:hAnsi="Arial" w:cs="Arial"/>
            <w:sz w:val="20"/>
            <w:szCs w:val="20"/>
          </w:rPr>
        </w:pPr>
        <w:r w:rsidRPr="00E320CF">
          <w:rPr>
            <w:rFonts w:ascii="Arial" w:hAnsi="Arial" w:cs="Arial"/>
            <w:sz w:val="20"/>
            <w:szCs w:val="20"/>
          </w:rPr>
          <w:fldChar w:fldCharType="begin"/>
        </w:r>
        <w:r w:rsidRPr="00E320CF">
          <w:rPr>
            <w:rFonts w:ascii="Arial" w:hAnsi="Arial" w:cs="Arial"/>
            <w:sz w:val="20"/>
            <w:szCs w:val="20"/>
          </w:rPr>
          <w:instrText xml:space="preserve"> PAGE   \* MERGEFORMAT </w:instrText>
        </w:r>
        <w:r w:rsidRPr="00E320CF">
          <w:rPr>
            <w:rFonts w:ascii="Arial" w:hAnsi="Arial" w:cs="Arial"/>
            <w:sz w:val="20"/>
            <w:szCs w:val="20"/>
          </w:rPr>
          <w:fldChar w:fldCharType="separate"/>
        </w:r>
        <w:r w:rsidRPr="00E320CF">
          <w:rPr>
            <w:rFonts w:ascii="Arial" w:hAnsi="Arial" w:cs="Arial"/>
            <w:noProof/>
            <w:sz w:val="20"/>
            <w:szCs w:val="20"/>
          </w:rPr>
          <w:t>2</w:t>
        </w:r>
        <w:r w:rsidRPr="00E320CF">
          <w:rPr>
            <w:rFonts w:ascii="Arial" w:hAnsi="Arial" w:cs="Arial"/>
            <w:noProof/>
            <w:sz w:val="20"/>
            <w:szCs w:val="20"/>
          </w:rPr>
          <w:fldChar w:fldCharType="end"/>
        </w:r>
      </w:p>
    </w:sdtContent>
  </w:sdt>
  <w:p w14:paraId="400EA832" w14:textId="77777777" w:rsidR="00E320CF" w:rsidRDefault="00E320CF">
    <w:pPr>
      <w:pStyle w:val="af"/>
    </w:pPr>
  </w:p>
  <w:p w14:paraId="187977B4" w14:textId="77777777" w:rsidR="00EE24AD" w:rsidRDefault="00EE24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32345" w14:textId="77777777" w:rsidR="00874790" w:rsidRDefault="00874790" w:rsidP="00D40EF5">
      <w:pPr>
        <w:spacing w:line="240" w:lineRule="auto"/>
      </w:pPr>
      <w:r>
        <w:separator/>
      </w:r>
    </w:p>
  </w:footnote>
  <w:footnote w:type="continuationSeparator" w:id="0">
    <w:p w14:paraId="2EB868FD" w14:textId="77777777" w:rsidR="00874790" w:rsidRDefault="00874790" w:rsidP="00D40EF5">
      <w:pPr>
        <w:spacing w:line="240" w:lineRule="auto"/>
      </w:pPr>
      <w:r>
        <w:continuationSeparator/>
      </w:r>
    </w:p>
  </w:footnote>
  <w:footnote w:id="1">
    <w:p w14:paraId="743FFB0B" w14:textId="276EF40A" w:rsidR="00424D38" w:rsidRPr="00424D38" w:rsidRDefault="00424D38">
      <w:pPr>
        <w:pStyle w:val="a6"/>
        <w:rPr>
          <w:rFonts w:eastAsiaTheme="minorEastAsia"/>
          <w:lang w:eastAsia="zh-CN"/>
        </w:rPr>
      </w:pPr>
      <w:r>
        <w:rPr>
          <w:rStyle w:val="ab"/>
        </w:rPr>
        <w:footnoteRef/>
      </w:r>
      <w:r>
        <w:t xml:space="preserve"> </w:t>
      </w:r>
      <w:r>
        <w:rPr>
          <w:rFonts w:eastAsiaTheme="minorEastAsia"/>
          <w:lang w:eastAsia="zh-CN"/>
        </w:rPr>
        <w:tab/>
      </w:r>
      <w:r>
        <w:t xml:space="preserve">Appellate Body Report, </w:t>
      </w:r>
      <w:r>
        <w:rPr>
          <w:i/>
        </w:rPr>
        <w:t xml:space="preserve">US – Offset Act (Byrd Amendment), </w:t>
      </w:r>
      <w:r>
        <w:t>para. 282. (Emphasis added).</w:t>
      </w:r>
    </w:p>
  </w:footnote>
  <w:footnote w:id="2">
    <w:p w14:paraId="237989DF" w14:textId="78718ECE" w:rsidR="00424D38" w:rsidRPr="00424D38" w:rsidRDefault="00424D38">
      <w:pPr>
        <w:pStyle w:val="a6"/>
        <w:rPr>
          <w:rFonts w:eastAsiaTheme="minorEastAsia"/>
          <w:lang w:eastAsia="zh-CN"/>
        </w:rPr>
      </w:pPr>
      <w:r>
        <w:rPr>
          <w:rStyle w:val="ab"/>
        </w:rPr>
        <w:footnoteRef/>
      </w:r>
      <w:r>
        <w:t xml:space="preserve"> </w:t>
      </w:r>
      <w:r>
        <w:rPr>
          <w:rFonts w:eastAsiaTheme="minorEastAsia"/>
          <w:lang w:eastAsia="zh-CN"/>
        </w:rPr>
        <w:tab/>
      </w:r>
      <w:r>
        <w:rPr>
          <w:i/>
        </w:rPr>
        <w:t>ibid</w:t>
      </w:r>
      <w:r>
        <w:t>.</w:t>
      </w:r>
    </w:p>
  </w:footnote>
  <w:footnote w:id="3">
    <w:p w14:paraId="70D71D35" w14:textId="0253C293" w:rsidR="00424D38" w:rsidRPr="00424D38" w:rsidRDefault="00424D38">
      <w:pPr>
        <w:pStyle w:val="a6"/>
        <w:rPr>
          <w:rFonts w:eastAsiaTheme="minorEastAsia"/>
          <w:lang w:eastAsia="zh-CN"/>
        </w:rPr>
      </w:pPr>
      <w:r>
        <w:rPr>
          <w:rStyle w:val="ab"/>
        </w:rPr>
        <w:footnoteRef/>
      </w:r>
      <w:r>
        <w:t xml:space="preserve"> </w:t>
      </w:r>
      <w:r>
        <w:rPr>
          <w:rFonts w:eastAsiaTheme="minorEastAsia"/>
          <w:lang w:eastAsia="zh-CN"/>
        </w:rPr>
        <w:tab/>
      </w:r>
      <w:r>
        <w:rPr>
          <w:i/>
        </w:rPr>
        <w:t>ibid</w:t>
      </w:r>
      <w:r>
        <w:t>.</w:t>
      </w:r>
    </w:p>
  </w:footnote>
  <w:footnote w:id="4">
    <w:p w14:paraId="2783FD52" w14:textId="572C6855" w:rsidR="0044496C" w:rsidRPr="0044496C" w:rsidRDefault="0044496C">
      <w:pPr>
        <w:pStyle w:val="a6"/>
        <w:rPr>
          <w:rFonts w:eastAsiaTheme="minorEastAsia"/>
          <w:lang w:eastAsia="zh-CN"/>
        </w:rPr>
      </w:pPr>
      <w:r>
        <w:rPr>
          <w:rStyle w:val="ab"/>
        </w:rPr>
        <w:footnoteRef/>
      </w:r>
      <w:r>
        <w:t xml:space="preserve"> </w:t>
      </w:r>
      <w:r>
        <w:rPr>
          <w:rFonts w:eastAsiaTheme="minorEastAsia"/>
          <w:lang w:eastAsia="zh-CN"/>
        </w:rPr>
        <w:tab/>
      </w:r>
      <w:r>
        <w:t>Incorporated under UK law by paragraph 9(1) of the TCBA.</w:t>
      </w:r>
    </w:p>
  </w:footnote>
  <w:footnote w:id="5">
    <w:p w14:paraId="58DB26AD" w14:textId="4F4AE1DF" w:rsidR="0044496C" w:rsidRPr="0044496C" w:rsidRDefault="0044496C">
      <w:pPr>
        <w:pStyle w:val="a6"/>
        <w:rPr>
          <w:rFonts w:eastAsiaTheme="minorEastAsia"/>
          <w:lang w:eastAsia="zh-CN"/>
        </w:rPr>
      </w:pPr>
      <w:r>
        <w:rPr>
          <w:rStyle w:val="ab"/>
        </w:rPr>
        <w:footnoteRef/>
      </w:r>
      <w:r>
        <w:t xml:space="preserve"> </w:t>
      </w:r>
      <w:r>
        <w:rPr>
          <w:rFonts w:eastAsiaTheme="minorEastAsia"/>
          <w:lang w:eastAsia="zh-CN"/>
        </w:rPr>
        <w:tab/>
      </w:r>
      <w:r>
        <w:t xml:space="preserve">Panel Report, </w:t>
      </w:r>
      <w:r>
        <w:rPr>
          <w:i/>
        </w:rPr>
        <w:t>US – Supercalendered Paper</w:t>
      </w:r>
      <w:r>
        <w:t>, para. 7.145.</w:t>
      </w:r>
    </w:p>
  </w:footnote>
  <w:footnote w:id="6">
    <w:p w14:paraId="1AE41B97" w14:textId="7BF4A1CB" w:rsidR="0044496C" w:rsidRPr="0044496C" w:rsidRDefault="0044496C">
      <w:pPr>
        <w:pStyle w:val="a6"/>
        <w:rPr>
          <w:rFonts w:eastAsiaTheme="minorEastAsia"/>
          <w:lang w:eastAsia="zh-CN"/>
        </w:rPr>
      </w:pPr>
      <w:r>
        <w:rPr>
          <w:rStyle w:val="ab"/>
        </w:rPr>
        <w:footnoteRef/>
      </w:r>
      <w:r>
        <w:t xml:space="preserve"> </w:t>
      </w:r>
      <w:r>
        <w:rPr>
          <w:rFonts w:eastAsiaTheme="minorEastAsia"/>
          <w:lang w:eastAsia="zh-CN"/>
        </w:rPr>
        <w:tab/>
      </w:r>
      <w:r>
        <w:t xml:space="preserve">Panel Report, </w:t>
      </w:r>
      <w:r>
        <w:rPr>
          <w:i/>
        </w:rPr>
        <w:t xml:space="preserve">China – GOES, </w:t>
      </w:r>
      <w:r>
        <w:t>para. 7.52. (Underlining added).</w:t>
      </w:r>
    </w:p>
  </w:footnote>
  <w:footnote w:id="7">
    <w:p w14:paraId="75B86210" w14:textId="7E0FE1F5" w:rsidR="0044496C" w:rsidRPr="0044496C" w:rsidRDefault="0044496C">
      <w:pPr>
        <w:pStyle w:val="a6"/>
        <w:rPr>
          <w:rFonts w:eastAsiaTheme="minorEastAsia"/>
          <w:lang w:eastAsia="zh-CN"/>
        </w:rPr>
      </w:pPr>
      <w:r>
        <w:rPr>
          <w:rStyle w:val="ab"/>
        </w:rPr>
        <w:footnoteRef/>
      </w:r>
      <w:r>
        <w:t xml:space="preserve"> </w:t>
      </w:r>
      <w:r>
        <w:rPr>
          <w:rFonts w:eastAsiaTheme="minorEastAsia"/>
          <w:lang w:eastAsia="zh-CN"/>
        </w:rPr>
        <w:tab/>
      </w:r>
      <w:r>
        <w:t xml:space="preserve">Panel Report, </w:t>
      </w:r>
      <w:r>
        <w:rPr>
          <w:i/>
        </w:rPr>
        <w:t xml:space="preserve">China – GOES, </w:t>
      </w:r>
      <w:r>
        <w:t>paras. 7.51-7.54.</w:t>
      </w:r>
    </w:p>
  </w:footnote>
  <w:footnote w:id="8">
    <w:p w14:paraId="7C266DDA" w14:textId="621A5653" w:rsidR="0044496C" w:rsidRPr="0044496C" w:rsidRDefault="0044496C">
      <w:pPr>
        <w:pStyle w:val="a6"/>
        <w:rPr>
          <w:rFonts w:eastAsiaTheme="minorEastAsia"/>
          <w:lang w:eastAsia="zh-CN"/>
        </w:rPr>
      </w:pPr>
      <w:r>
        <w:rPr>
          <w:rStyle w:val="ab"/>
        </w:rPr>
        <w:footnoteRef/>
      </w:r>
      <w:r>
        <w:t xml:space="preserve"> </w:t>
      </w:r>
      <w:r>
        <w:rPr>
          <w:rFonts w:eastAsiaTheme="minorEastAsia"/>
          <w:lang w:eastAsia="zh-CN"/>
        </w:rPr>
        <w:tab/>
      </w:r>
      <w:r>
        <w:t xml:space="preserve">Panel Report, </w:t>
      </w:r>
      <w:r>
        <w:rPr>
          <w:i/>
        </w:rPr>
        <w:t xml:space="preserve">China – GOES, </w:t>
      </w:r>
      <w:r>
        <w:t>para. 7.58.</w:t>
      </w:r>
    </w:p>
  </w:footnote>
  <w:footnote w:id="9">
    <w:p w14:paraId="6DD6DFBB" w14:textId="6CA63E40" w:rsidR="0044496C" w:rsidRPr="0044496C" w:rsidRDefault="0044496C">
      <w:pPr>
        <w:pStyle w:val="a6"/>
        <w:rPr>
          <w:rFonts w:eastAsiaTheme="minorEastAsia"/>
          <w:lang w:eastAsia="zh-CN"/>
        </w:rPr>
      </w:pPr>
      <w:r>
        <w:rPr>
          <w:rStyle w:val="ab"/>
        </w:rPr>
        <w:footnoteRef/>
      </w:r>
      <w:r>
        <w:t xml:space="preserve"> </w:t>
      </w:r>
      <w:r>
        <w:rPr>
          <w:rFonts w:eastAsiaTheme="minorEastAsia"/>
          <w:lang w:eastAsia="zh-CN"/>
        </w:rPr>
        <w:tab/>
      </w:r>
      <w:r w:rsidRPr="0044496C">
        <w:rPr>
          <w:rFonts w:eastAsiaTheme="minorEastAsia"/>
          <w:lang w:eastAsia="zh-CN"/>
        </w:rPr>
        <w:t>Panel Report, China – GOES, paras. 7.71 – 7.72. The Panel in China – GOES underlined that the existence of subsidy refers to a present subsidy and not to some historical subsidy given to some company. See para. 7.96.</w:t>
      </w:r>
    </w:p>
  </w:footnote>
  <w:footnote w:id="10">
    <w:p w14:paraId="1832A4A9" w14:textId="3AFA8804" w:rsidR="0044496C" w:rsidRPr="0044496C" w:rsidRDefault="0044496C">
      <w:pPr>
        <w:pStyle w:val="a6"/>
        <w:rPr>
          <w:rFonts w:eastAsiaTheme="minorEastAsia"/>
          <w:lang w:eastAsia="zh-CN"/>
        </w:rPr>
      </w:pPr>
      <w:r>
        <w:rPr>
          <w:rStyle w:val="ab"/>
        </w:rPr>
        <w:footnoteRef/>
      </w:r>
      <w:r>
        <w:t xml:space="preserve"> </w:t>
      </w:r>
      <w:r>
        <w:rPr>
          <w:rFonts w:eastAsiaTheme="minorEastAsia"/>
          <w:lang w:eastAsia="zh-CN"/>
        </w:rPr>
        <w:tab/>
      </w:r>
      <w:r>
        <w:t xml:space="preserve">Panel Report, </w:t>
      </w:r>
      <w:r>
        <w:rPr>
          <w:i/>
        </w:rPr>
        <w:t xml:space="preserve">China – GOES, </w:t>
      </w:r>
      <w:r>
        <w:t>paras. 7.60-7.61.</w:t>
      </w:r>
    </w:p>
  </w:footnote>
  <w:footnote w:id="11">
    <w:p w14:paraId="22F1B8FE" w14:textId="7111ECC5" w:rsidR="00411A4F" w:rsidRPr="00411A4F" w:rsidRDefault="00411A4F">
      <w:pPr>
        <w:pStyle w:val="a6"/>
        <w:rPr>
          <w:rFonts w:eastAsiaTheme="minorEastAsia"/>
          <w:lang w:eastAsia="zh-CN"/>
        </w:rPr>
      </w:pPr>
      <w:r>
        <w:rPr>
          <w:rStyle w:val="ab"/>
        </w:rPr>
        <w:footnoteRef/>
      </w:r>
      <w:r>
        <w:t xml:space="preserve"> </w:t>
      </w:r>
      <w:r>
        <w:rPr>
          <w:rFonts w:eastAsiaTheme="minorEastAsia"/>
          <w:lang w:eastAsia="zh-CN"/>
        </w:rPr>
        <w:tab/>
      </w:r>
      <w:r>
        <w:t xml:space="preserve">Panel Report, </w:t>
      </w:r>
      <w:r>
        <w:rPr>
          <w:i/>
        </w:rPr>
        <w:t xml:space="preserve">China – GOES, </w:t>
      </w:r>
      <w:r>
        <w:t>para. 7.55.</w:t>
      </w:r>
    </w:p>
  </w:footnote>
  <w:footnote w:id="12">
    <w:p w14:paraId="79BA44E8" w14:textId="046FCF92" w:rsidR="00F86337" w:rsidRPr="00F86337" w:rsidRDefault="00F86337">
      <w:pPr>
        <w:pStyle w:val="a6"/>
        <w:rPr>
          <w:rFonts w:eastAsiaTheme="minorEastAsia"/>
          <w:lang w:eastAsia="zh-CN"/>
        </w:rPr>
      </w:pPr>
      <w:r>
        <w:rPr>
          <w:rStyle w:val="ab"/>
        </w:rPr>
        <w:footnoteRef/>
      </w:r>
      <w:r>
        <w:t xml:space="preserve"> </w:t>
      </w:r>
      <w:r>
        <w:rPr>
          <w:rFonts w:eastAsiaTheme="minorEastAsia"/>
          <w:lang w:eastAsia="zh-CN"/>
        </w:rPr>
        <w:tab/>
      </w:r>
      <w:r>
        <w:t xml:space="preserve">Panel Report, </w:t>
      </w:r>
      <w:r>
        <w:rPr>
          <w:i/>
        </w:rPr>
        <w:t xml:space="preserve">US – Countervailing Duties (China), </w:t>
      </w:r>
      <w:r>
        <w:t>para. 7.146.</w:t>
      </w:r>
    </w:p>
  </w:footnote>
  <w:footnote w:id="13">
    <w:p w14:paraId="16C4C1CD" w14:textId="5F69B346" w:rsidR="00F86337" w:rsidRPr="008A1ACE" w:rsidRDefault="00F86337">
      <w:pPr>
        <w:pStyle w:val="a6"/>
        <w:rPr>
          <w:rFonts w:eastAsiaTheme="minorEastAsia"/>
          <w:lang w:eastAsia="zh-CN"/>
        </w:rPr>
      </w:pPr>
      <w:r>
        <w:rPr>
          <w:rStyle w:val="ab"/>
        </w:rPr>
        <w:footnoteRef/>
      </w:r>
      <w:r>
        <w:t xml:space="preserve"> </w:t>
      </w:r>
      <w:r w:rsidR="008A1ACE">
        <w:rPr>
          <w:rFonts w:eastAsiaTheme="minorEastAsia"/>
          <w:lang w:eastAsia="zh-CN"/>
        </w:rPr>
        <w:tab/>
      </w:r>
      <w:r w:rsidR="008A1ACE">
        <w:t>SCM Agreement, Article 11.2.</w:t>
      </w:r>
    </w:p>
  </w:footnote>
  <w:footnote w:id="14">
    <w:p w14:paraId="1CF81162" w14:textId="014E9054" w:rsidR="00F86337" w:rsidRPr="008A1ACE" w:rsidRDefault="00F86337">
      <w:pPr>
        <w:pStyle w:val="a6"/>
        <w:rPr>
          <w:rFonts w:eastAsiaTheme="minorEastAsia"/>
          <w:lang w:eastAsia="zh-CN"/>
        </w:rPr>
      </w:pPr>
      <w:r>
        <w:rPr>
          <w:rStyle w:val="ab"/>
        </w:rPr>
        <w:footnoteRef/>
      </w:r>
      <w:r>
        <w:t xml:space="preserve"> </w:t>
      </w:r>
      <w:r w:rsidR="008A1ACE">
        <w:rPr>
          <w:rFonts w:eastAsiaTheme="minorEastAsia"/>
          <w:lang w:eastAsia="zh-CN"/>
        </w:rPr>
        <w:tab/>
      </w:r>
      <w:r w:rsidR="008A1ACE">
        <w:t xml:space="preserve">Panel Report, </w:t>
      </w:r>
      <w:r w:rsidR="008A1ACE">
        <w:rPr>
          <w:i/>
        </w:rPr>
        <w:t xml:space="preserve">China – GOES, </w:t>
      </w:r>
      <w:r w:rsidR="008A1ACE">
        <w:t>para. 7.66.</w:t>
      </w:r>
    </w:p>
  </w:footnote>
  <w:footnote w:id="15">
    <w:p w14:paraId="6E0FE39E" w14:textId="0F0CCCE5" w:rsidR="00F86337" w:rsidRPr="008A1ACE" w:rsidRDefault="00F86337">
      <w:pPr>
        <w:pStyle w:val="a6"/>
        <w:rPr>
          <w:rFonts w:eastAsiaTheme="minorEastAsia"/>
          <w:lang w:eastAsia="zh-CN"/>
        </w:rPr>
      </w:pPr>
      <w:r>
        <w:rPr>
          <w:rStyle w:val="ab"/>
        </w:rPr>
        <w:footnoteRef/>
      </w:r>
      <w:r>
        <w:t xml:space="preserve"> </w:t>
      </w:r>
      <w:r w:rsidR="008A1ACE">
        <w:rPr>
          <w:rFonts w:eastAsiaTheme="minorEastAsia"/>
          <w:lang w:eastAsia="zh-CN"/>
        </w:rPr>
        <w:tab/>
      </w:r>
      <w:r w:rsidR="008A1ACE">
        <w:rPr>
          <w:i/>
        </w:rPr>
        <w:t xml:space="preserve">ibid, </w:t>
      </w:r>
      <w:r w:rsidR="008A1ACE">
        <w:t>para. 7.107.</w:t>
      </w:r>
    </w:p>
  </w:footnote>
  <w:footnote w:id="16">
    <w:p w14:paraId="78BFF5C5" w14:textId="782E73AF" w:rsidR="00F86337" w:rsidRPr="00BA0E9E" w:rsidRDefault="00F86337">
      <w:pPr>
        <w:pStyle w:val="a6"/>
        <w:rPr>
          <w:rFonts w:eastAsiaTheme="minorEastAsia"/>
          <w:lang w:val="fr-FR" w:eastAsia="zh-CN"/>
        </w:rPr>
      </w:pPr>
      <w:r>
        <w:rPr>
          <w:rStyle w:val="ab"/>
        </w:rPr>
        <w:footnoteRef/>
      </w:r>
      <w:r>
        <w:t xml:space="preserve"> </w:t>
      </w:r>
      <w:r w:rsidR="008A1ACE">
        <w:rPr>
          <w:rFonts w:eastAsiaTheme="minorEastAsia"/>
          <w:lang w:eastAsia="zh-CN"/>
        </w:rPr>
        <w:tab/>
      </w:r>
      <w:r w:rsidR="008A1ACE">
        <w:t xml:space="preserve">Panel Report, </w:t>
      </w:r>
      <w:r w:rsidR="008A1ACE">
        <w:rPr>
          <w:i/>
        </w:rPr>
        <w:t xml:space="preserve">China – GOES, </w:t>
      </w:r>
      <w:r w:rsidR="008A1ACE">
        <w:t xml:space="preserve">para. </w:t>
      </w:r>
      <w:r w:rsidR="008A1ACE" w:rsidRPr="00BA0E9E">
        <w:rPr>
          <w:lang w:val="fr-FR"/>
        </w:rPr>
        <w:t>7.</w:t>
      </w:r>
      <w:r w:rsidR="008A1ACE" w:rsidRPr="00BA0E9E">
        <w:rPr>
          <w:rFonts w:eastAsiaTheme="minorEastAsia" w:hint="eastAsia"/>
          <w:lang w:val="fr-FR" w:eastAsia="zh-CN"/>
        </w:rPr>
        <w:t>74</w:t>
      </w:r>
      <w:r w:rsidR="008A1ACE" w:rsidRPr="00BA0E9E">
        <w:rPr>
          <w:lang w:val="fr-FR"/>
        </w:rPr>
        <w:t>.</w:t>
      </w:r>
    </w:p>
  </w:footnote>
  <w:footnote w:id="17">
    <w:p w14:paraId="3631950C" w14:textId="38BD5561" w:rsidR="00956C33" w:rsidRPr="003320AB" w:rsidRDefault="00956C33">
      <w:pPr>
        <w:pStyle w:val="a6"/>
        <w:rPr>
          <w:rFonts w:eastAsiaTheme="minorEastAsia"/>
          <w:lang w:val="fr-FR" w:eastAsia="zh-CN"/>
        </w:rPr>
      </w:pPr>
      <w:r>
        <w:rPr>
          <w:rStyle w:val="ab"/>
        </w:rPr>
        <w:footnoteRef/>
      </w:r>
      <w:r w:rsidRPr="003320AB">
        <w:rPr>
          <w:lang w:val="fr-FR"/>
        </w:rPr>
        <w:t xml:space="preserve"> </w:t>
      </w:r>
      <w:r w:rsidR="003320AB" w:rsidRPr="003320AB">
        <w:rPr>
          <w:rFonts w:eastAsiaTheme="minorEastAsia"/>
          <w:lang w:val="fr-FR" w:eastAsia="zh-CN"/>
        </w:rPr>
        <w:tab/>
      </w:r>
      <w:r w:rsidR="003320AB" w:rsidRPr="003320AB">
        <w:rPr>
          <w:rFonts w:eastAsiaTheme="minorEastAsia" w:hint="eastAsia"/>
          <w:lang w:val="fr-FR" w:eastAsia="zh-CN"/>
        </w:rPr>
        <w:t>Appli</w:t>
      </w:r>
      <w:r w:rsidR="003320AB">
        <w:rPr>
          <w:rFonts w:eastAsiaTheme="minorEastAsia" w:hint="eastAsia"/>
          <w:lang w:val="fr-FR" w:eastAsia="zh-CN"/>
        </w:rPr>
        <w:t>cation, F.2.001, p4</w:t>
      </w:r>
    </w:p>
  </w:footnote>
  <w:footnote w:id="18">
    <w:p w14:paraId="12F101A3" w14:textId="4CA40C02" w:rsidR="00683881" w:rsidRPr="00683881" w:rsidRDefault="00683881">
      <w:pPr>
        <w:pStyle w:val="a6"/>
        <w:rPr>
          <w:rFonts w:eastAsiaTheme="minorEastAsia"/>
          <w:lang w:val="fr-FR" w:eastAsia="zh-CN"/>
        </w:rPr>
      </w:pPr>
      <w:r>
        <w:rPr>
          <w:rStyle w:val="ab"/>
        </w:rPr>
        <w:footnoteRef/>
      </w:r>
      <w:r w:rsidRPr="00683881">
        <w:rPr>
          <w:lang w:val="fr-FR"/>
        </w:rPr>
        <w:t xml:space="preserve"> </w:t>
      </w:r>
      <w:r w:rsidRPr="00683881">
        <w:rPr>
          <w:rFonts w:eastAsiaTheme="minorEastAsia"/>
          <w:lang w:val="fr-FR" w:eastAsia="zh-CN"/>
        </w:rPr>
        <w:tab/>
      </w:r>
      <w:r w:rsidRPr="003320AB">
        <w:rPr>
          <w:rFonts w:eastAsiaTheme="minorEastAsia" w:hint="eastAsia"/>
          <w:lang w:val="fr-FR" w:eastAsia="zh-CN"/>
        </w:rPr>
        <w:t>Appli</w:t>
      </w:r>
      <w:r>
        <w:rPr>
          <w:rFonts w:eastAsiaTheme="minorEastAsia" w:hint="eastAsia"/>
          <w:lang w:val="fr-FR" w:eastAsia="zh-CN"/>
        </w:rPr>
        <w:t>cation, F.2.001, p4</w:t>
      </w:r>
    </w:p>
  </w:footnote>
  <w:footnote w:id="19">
    <w:p w14:paraId="56BB4C74" w14:textId="7356E765" w:rsidR="0045188A" w:rsidRPr="00BA0E9E" w:rsidRDefault="0045188A">
      <w:pPr>
        <w:pStyle w:val="a6"/>
        <w:rPr>
          <w:rFonts w:eastAsiaTheme="minorEastAsia"/>
          <w:lang w:eastAsia="zh-CN"/>
        </w:rPr>
      </w:pPr>
      <w:r>
        <w:rPr>
          <w:rStyle w:val="ab"/>
        </w:rPr>
        <w:footnoteRef/>
      </w:r>
      <w:r w:rsidRPr="00BA0E9E">
        <w:t xml:space="preserve"> </w:t>
      </w:r>
      <w:r w:rsidRPr="00BA0E9E">
        <w:rPr>
          <w:rFonts w:eastAsiaTheme="minorEastAsia"/>
          <w:lang w:eastAsia="zh-CN"/>
        </w:rPr>
        <w:tab/>
      </w:r>
      <w:r w:rsidRPr="00BA0E9E">
        <w:t>Application</w:t>
      </w:r>
      <w:r w:rsidRPr="00BA0E9E">
        <w:rPr>
          <w:rFonts w:eastAsiaTheme="minorEastAsia" w:hint="eastAsia"/>
          <w:lang w:eastAsia="zh-CN"/>
        </w:rPr>
        <w:t xml:space="preserve"> Annex F.2.001</w:t>
      </w:r>
      <w:r w:rsidRPr="00BA0E9E">
        <w:t xml:space="preserve">, p. </w:t>
      </w:r>
      <w:r w:rsidRPr="00BA0E9E">
        <w:rPr>
          <w:rFonts w:eastAsiaTheme="minorEastAsia" w:hint="eastAsia"/>
          <w:lang w:eastAsia="zh-CN"/>
        </w:rPr>
        <w:t>35</w:t>
      </w:r>
      <w:r w:rsidRPr="00BA0E9E">
        <w:t>.</w:t>
      </w:r>
    </w:p>
  </w:footnote>
  <w:footnote w:id="20">
    <w:p w14:paraId="71FB93B1" w14:textId="1F403539" w:rsidR="00965F80" w:rsidRPr="00965F80" w:rsidRDefault="00965F80">
      <w:pPr>
        <w:pStyle w:val="a6"/>
        <w:rPr>
          <w:rFonts w:eastAsiaTheme="minorEastAsia"/>
          <w:lang w:eastAsia="zh-CN"/>
        </w:rPr>
      </w:pPr>
      <w:r>
        <w:rPr>
          <w:rStyle w:val="ab"/>
        </w:rPr>
        <w:footnoteRef/>
      </w:r>
      <w:r>
        <w:t xml:space="preserve"> </w:t>
      </w:r>
      <w:r>
        <w:rPr>
          <w:rFonts w:eastAsiaTheme="minorEastAsia"/>
          <w:lang w:eastAsia="zh-CN"/>
        </w:rPr>
        <w:tab/>
      </w:r>
      <w:r>
        <w:t>Application</w:t>
      </w:r>
      <w:r>
        <w:rPr>
          <w:rFonts w:eastAsiaTheme="minorEastAsia" w:hint="eastAsia"/>
          <w:lang w:eastAsia="zh-CN"/>
        </w:rPr>
        <w:t xml:space="preserve"> Annex F.2.001</w:t>
      </w:r>
      <w:r>
        <w:t xml:space="preserve">, p. </w:t>
      </w:r>
      <w:r>
        <w:rPr>
          <w:rFonts w:eastAsiaTheme="minorEastAsia" w:hint="eastAsia"/>
          <w:lang w:eastAsia="zh-CN"/>
        </w:rPr>
        <w:t>32</w:t>
      </w:r>
    </w:p>
  </w:footnote>
  <w:footnote w:id="21">
    <w:p w14:paraId="232F4FCE" w14:textId="16F8FFD4" w:rsidR="00B9791B" w:rsidRPr="00B9791B" w:rsidRDefault="00B9791B">
      <w:pPr>
        <w:pStyle w:val="a6"/>
        <w:rPr>
          <w:rFonts w:ascii="Arial" w:eastAsiaTheme="minorEastAsia" w:hAnsi="Arial" w:cs="Arial"/>
          <w:lang w:eastAsia="zh-CN"/>
        </w:rPr>
      </w:pPr>
      <w:r>
        <w:rPr>
          <w:rStyle w:val="ab"/>
        </w:rPr>
        <w:footnoteRef/>
      </w:r>
      <w:r>
        <w:t xml:space="preserve"> </w:t>
      </w:r>
      <w:r>
        <w:rPr>
          <w:rFonts w:eastAsiaTheme="minorEastAsia"/>
          <w:lang w:eastAsia="zh-CN"/>
        </w:rPr>
        <w:tab/>
      </w:r>
      <w:r w:rsidRPr="00B9791B">
        <w:rPr>
          <w:rFonts w:ascii="Arial" w:eastAsiaTheme="minorEastAsia" w:hAnsi="Arial" w:cs="Arial"/>
          <w:lang w:eastAsia="zh-CN"/>
        </w:rPr>
        <w:t>Application, F.2.001, p39</w:t>
      </w:r>
    </w:p>
  </w:footnote>
  <w:footnote w:id="22">
    <w:p w14:paraId="591C5AC2" w14:textId="69A18077" w:rsidR="001F79D9" w:rsidRPr="001F79D9" w:rsidRDefault="001F79D9">
      <w:pPr>
        <w:pStyle w:val="a6"/>
        <w:rPr>
          <w:rFonts w:eastAsiaTheme="minorEastAsia"/>
          <w:lang w:eastAsia="zh-CN"/>
        </w:rPr>
      </w:pPr>
      <w:r>
        <w:rPr>
          <w:rStyle w:val="ab"/>
        </w:rPr>
        <w:footnoteRef/>
      </w:r>
      <w:r>
        <w:t xml:space="preserve"> </w:t>
      </w:r>
      <w:r>
        <w:rPr>
          <w:rFonts w:eastAsiaTheme="minorEastAsia"/>
          <w:lang w:eastAsia="zh-CN"/>
        </w:rPr>
        <w:tab/>
      </w:r>
      <w:r>
        <w:rPr>
          <w:rFonts w:eastAsiaTheme="minorEastAsia" w:hint="eastAsia"/>
          <w:lang w:eastAsia="zh-CN"/>
        </w:rPr>
        <w:t xml:space="preserve">Statement of Essential Facts, AS0022, </w:t>
      </w:r>
    </w:p>
  </w:footnote>
  <w:footnote w:id="23">
    <w:p w14:paraId="4D7216BA" w14:textId="77777777" w:rsidR="00AB0DE5" w:rsidRPr="00191639" w:rsidRDefault="00AB0DE5" w:rsidP="00AB0DE5">
      <w:pPr>
        <w:pStyle w:val="a6"/>
        <w:rPr>
          <w:rFonts w:ascii="Arial" w:hAnsi="Arial" w:cs="Arial"/>
          <w:i/>
          <w:iCs/>
        </w:rPr>
      </w:pPr>
      <w:r w:rsidRPr="00191639">
        <w:rPr>
          <w:rStyle w:val="ab"/>
          <w:rFonts w:ascii="Arial" w:hAnsi="Arial" w:cs="Arial"/>
        </w:rPr>
        <w:footnoteRef/>
      </w:r>
      <w:r w:rsidRPr="00191639">
        <w:rPr>
          <w:rFonts w:ascii="Arial" w:hAnsi="Arial" w:cs="Arial"/>
        </w:rPr>
        <w:t>.</w:t>
      </w:r>
      <w:r w:rsidRPr="00191639">
        <w:rPr>
          <w:rFonts w:ascii="Arial" w:hAnsi="Arial" w:cs="Arial"/>
        </w:rPr>
        <w:tab/>
        <w:t xml:space="preserve">Appellate Body Report, </w:t>
      </w:r>
      <w:r w:rsidRPr="00191639">
        <w:rPr>
          <w:rFonts w:ascii="Arial" w:hAnsi="Arial" w:cs="Arial"/>
          <w:i/>
          <w:iCs/>
        </w:rPr>
        <w:t>US – Countervailing Measures (China)</w:t>
      </w:r>
      <w:r w:rsidRPr="00191639">
        <w:rPr>
          <w:rFonts w:ascii="Arial" w:hAnsi="Arial" w:cs="Arial"/>
        </w:rPr>
        <w:t>, para. 4.120.</w:t>
      </w:r>
    </w:p>
  </w:footnote>
  <w:footnote w:id="24">
    <w:p w14:paraId="2CDEAF78" w14:textId="77777777" w:rsidR="00AB0DE5" w:rsidRPr="00191639" w:rsidRDefault="00AB0DE5" w:rsidP="00AB0DE5">
      <w:pPr>
        <w:pStyle w:val="a6"/>
        <w:rPr>
          <w:rFonts w:ascii="Arial" w:hAnsi="Arial" w:cs="Arial"/>
          <w:i/>
          <w:iCs/>
        </w:rPr>
      </w:pPr>
      <w:r w:rsidRPr="00191639">
        <w:rPr>
          <w:rStyle w:val="ab"/>
          <w:rFonts w:ascii="Arial" w:hAnsi="Arial" w:cs="Arial"/>
        </w:rPr>
        <w:footnoteRef/>
      </w:r>
      <w:r w:rsidRPr="00191639">
        <w:rPr>
          <w:rFonts w:ascii="Arial" w:hAnsi="Arial" w:cs="Arial"/>
        </w:rPr>
        <w:t>.</w:t>
      </w:r>
      <w:r w:rsidRPr="00191639">
        <w:rPr>
          <w:rFonts w:ascii="Arial" w:hAnsi="Arial" w:cs="Arial"/>
        </w:rPr>
        <w:tab/>
      </w:r>
      <w:r w:rsidRPr="00191639">
        <w:rPr>
          <w:rFonts w:ascii="Arial" w:hAnsi="Arial" w:cs="Arial"/>
          <w:i/>
          <w:iCs/>
        </w:rPr>
        <w:t>Ibid</w:t>
      </w:r>
      <w:r w:rsidRPr="00191639">
        <w:rPr>
          <w:rFonts w:ascii="Arial" w:hAnsi="Arial" w:cs="Arial"/>
        </w:rPr>
        <w:t>., para. 4.164.</w:t>
      </w:r>
    </w:p>
  </w:footnote>
  <w:footnote w:id="25">
    <w:p w14:paraId="75FE5686" w14:textId="77777777" w:rsidR="00AB0DE5" w:rsidRPr="00191639" w:rsidRDefault="00AB0DE5" w:rsidP="00AB0DE5">
      <w:pPr>
        <w:pStyle w:val="a6"/>
        <w:rPr>
          <w:rFonts w:ascii="Arial" w:hAnsi="Arial" w:cs="Arial"/>
        </w:rPr>
      </w:pPr>
      <w:r w:rsidRPr="00191639">
        <w:rPr>
          <w:rStyle w:val="ab"/>
          <w:rFonts w:ascii="Arial" w:hAnsi="Arial" w:cs="Arial"/>
        </w:rPr>
        <w:footnoteRef/>
      </w:r>
      <w:r w:rsidRPr="00191639">
        <w:rPr>
          <w:rFonts w:ascii="Arial" w:hAnsi="Arial" w:cs="Arial"/>
        </w:rPr>
        <w:t>.</w:t>
      </w:r>
      <w:r w:rsidRPr="00191639">
        <w:rPr>
          <w:rFonts w:ascii="Arial" w:hAnsi="Arial" w:cs="Arial"/>
        </w:rPr>
        <w:tab/>
        <w:t xml:space="preserve">Panel Report, </w:t>
      </w:r>
      <w:r w:rsidRPr="00191639">
        <w:rPr>
          <w:rFonts w:ascii="Arial" w:hAnsi="Arial" w:cs="Arial"/>
          <w:i/>
        </w:rPr>
        <w:t>US – Upland Cotton</w:t>
      </w:r>
      <w:r w:rsidRPr="00191639">
        <w:rPr>
          <w:rFonts w:ascii="Arial" w:hAnsi="Arial" w:cs="Arial"/>
        </w:rPr>
        <w:t>, paras. 7.1147.</w:t>
      </w:r>
    </w:p>
  </w:footnote>
  <w:footnote w:id="26">
    <w:p w14:paraId="394A3AE8" w14:textId="5BCB3967" w:rsidR="00AB0DE5" w:rsidRPr="00191639" w:rsidRDefault="00AB0DE5" w:rsidP="00AB0DE5">
      <w:pPr>
        <w:pStyle w:val="a6"/>
        <w:rPr>
          <w:rFonts w:ascii="Arial" w:hAnsi="Arial" w:cs="Arial"/>
        </w:rPr>
      </w:pPr>
      <w:r w:rsidRPr="00191639">
        <w:rPr>
          <w:rStyle w:val="ab"/>
          <w:rFonts w:ascii="Arial" w:hAnsi="Arial" w:cs="Arial"/>
        </w:rPr>
        <w:footnoteRef/>
      </w:r>
      <w:r w:rsidRPr="00191639">
        <w:rPr>
          <w:rFonts w:ascii="Arial" w:hAnsi="Arial" w:cs="Arial"/>
        </w:rPr>
        <w:t>.</w:t>
      </w:r>
      <w:r w:rsidRPr="00191639">
        <w:rPr>
          <w:rFonts w:ascii="Arial" w:hAnsi="Arial" w:cs="Arial"/>
        </w:rPr>
        <w:tab/>
      </w:r>
      <w:r>
        <w:rPr>
          <w:rFonts w:ascii="Arial" w:eastAsiaTheme="minorEastAsia" w:hAnsi="Arial" w:cs="Arial" w:hint="eastAsia"/>
          <w:lang w:eastAsia="zh-CN"/>
        </w:rPr>
        <w:t>Application</w:t>
      </w:r>
      <w:r w:rsidRPr="00191639">
        <w:rPr>
          <w:rFonts w:ascii="Arial" w:hAnsi="Arial" w:cs="Arial"/>
        </w:rPr>
        <w:t xml:space="preserve">, </w:t>
      </w:r>
      <w:r>
        <w:rPr>
          <w:rFonts w:ascii="Arial" w:eastAsiaTheme="minorEastAsia" w:hAnsi="Arial" w:cs="Arial" w:hint="eastAsia"/>
          <w:lang w:eastAsia="zh-CN"/>
        </w:rPr>
        <w:t xml:space="preserve">F.2.001, </w:t>
      </w:r>
      <w:r w:rsidRPr="00191639">
        <w:rPr>
          <w:rFonts w:ascii="Arial" w:hAnsi="Arial" w:cs="Arial"/>
        </w:rPr>
        <w:t xml:space="preserve">page </w:t>
      </w:r>
      <w:r>
        <w:rPr>
          <w:rFonts w:ascii="Arial" w:eastAsiaTheme="minorEastAsia" w:hAnsi="Arial" w:cs="Arial" w:hint="eastAsia"/>
          <w:lang w:eastAsia="zh-CN"/>
        </w:rPr>
        <w:t>39</w:t>
      </w:r>
      <w:r w:rsidRPr="00191639">
        <w:rPr>
          <w:rFonts w:ascii="Arial" w:hAnsi="Arial" w:cs="Arial"/>
        </w:rPr>
        <w:t>.</w:t>
      </w:r>
    </w:p>
  </w:footnote>
  <w:footnote w:id="27">
    <w:p w14:paraId="6FC2A33B" w14:textId="77777777" w:rsidR="00AB0DE5" w:rsidRPr="00191639" w:rsidRDefault="00AB0DE5" w:rsidP="00AB0DE5">
      <w:pPr>
        <w:pStyle w:val="a6"/>
        <w:rPr>
          <w:rFonts w:ascii="Arial" w:hAnsi="Arial" w:cs="Arial"/>
        </w:rPr>
      </w:pPr>
      <w:r w:rsidRPr="00191639">
        <w:rPr>
          <w:rStyle w:val="ab"/>
          <w:rFonts w:ascii="Arial" w:hAnsi="Arial" w:cs="Arial"/>
        </w:rPr>
        <w:footnoteRef/>
      </w:r>
      <w:r w:rsidRPr="00191639">
        <w:rPr>
          <w:rFonts w:ascii="Arial" w:hAnsi="Arial" w:cs="Arial"/>
        </w:rPr>
        <w:t>.</w:t>
      </w:r>
      <w:r w:rsidRPr="00191639">
        <w:rPr>
          <w:rFonts w:ascii="Arial" w:hAnsi="Arial" w:cs="Arial"/>
        </w:rPr>
        <w:tab/>
        <w:t xml:space="preserve">Appellate Body Report, </w:t>
      </w:r>
      <w:r w:rsidRPr="00191639">
        <w:rPr>
          <w:rFonts w:ascii="Arial" w:hAnsi="Arial" w:cs="Arial"/>
          <w:i/>
          <w:iCs/>
        </w:rPr>
        <w:t>US – Anti-dumping and Countervailing Measures (China)</w:t>
      </w:r>
      <w:r w:rsidRPr="00191639">
        <w:rPr>
          <w:rFonts w:ascii="Arial" w:hAnsi="Arial" w:cs="Arial"/>
        </w:rPr>
        <w:t>, para. 367.</w:t>
      </w:r>
    </w:p>
  </w:footnote>
  <w:footnote w:id="28">
    <w:p w14:paraId="639C1A05" w14:textId="7684481B" w:rsidR="003F0A0B" w:rsidRPr="003F0A0B" w:rsidRDefault="003F0A0B">
      <w:pPr>
        <w:pStyle w:val="a6"/>
        <w:rPr>
          <w:rFonts w:eastAsiaTheme="minorEastAsia"/>
          <w:lang w:eastAsia="zh-CN"/>
        </w:rPr>
      </w:pPr>
      <w:r>
        <w:rPr>
          <w:rStyle w:val="ab"/>
        </w:rPr>
        <w:footnoteRef/>
      </w:r>
      <w:r>
        <w:t xml:space="preserve"> </w:t>
      </w:r>
      <w:r>
        <w:rPr>
          <w:rFonts w:eastAsiaTheme="minorEastAsia"/>
          <w:lang w:eastAsia="zh-CN"/>
        </w:rPr>
        <w:tab/>
      </w:r>
      <w:bookmarkStart w:id="17" w:name="_Hlk161118092"/>
      <w:r>
        <w:t xml:space="preserve">Appellate Body Report, </w:t>
      </w:r>
      <w:r>
        <w:rPr>
          <w:i/>
        </w:rPr>
        <w:t>US – Carbon Steel (India)</w:t>
      </w:r>
      <w:r>
        <w:t>, paras. 4.36-4.37.</w:t>
      </w:r>
      <w:bookmarkEnd w:id="17"/>
    </w:p>
  </w:footnote>
  <w:footnote w:id="29">
    <w:p w14:paraId="7DDFCD66" w14:textId="2D003E00" w:rsidR="00570BD2" w:rsidRPr="00570BD2" w:rsidRDefault="00570BD2">
      <w:pPr>
        <w:pStyle w:val="a6"/>
        <w:rPr>
          <w:rFonts w:eastAsiaTheme="minorEastAsia"/>
          <w:lang w:eastAsia="zh-CN"/>
        </w:rPr>
      </w:pPr>
      <w:r>
        <w:rPr>
          <w:rStyle w:val="ab"/>
        </w:rPr>
        <w:footnoteRef/>
      </w:r>
      <w:r>
        <w:t xml:space="preserve"> </w:t>
      </w:r>
      <w:r>
        <w:rPr>
          <w:rFonts w:eastAsiaTheme="minorEastAsia"/>
          <w:lang w:eastAsia="zh-CN"/>
        </w:rPr>
        <w:tab/>
      </w:r>
      <w:r>
        <w:rPr>
          <w:rFonts w:eastAsiaTheme="minorEastAsia" w:hint="eastAsia"/>
          <w:lang w:eastAsia="zh-CN"/>
        </w:rPr>
        <w:t xml:space="preserve">Application, </w:t>
      </w:r>
    </w:p>
  </w:footnote>
  <w:footnote w:id="30">
    <w:p w14:paraId="70CDA188" w14:textId="687C252C" w:rsidR="000A289A" w:rsidRPr="000A289A" w:rsidRDefault="000A289A">
      <w:pPr>
        <w:pStyle w:val="a6"/>
        <w:rPr>
          <w:rFonts w:eastAsiaTheme="minorEastAsia"/>
          <w:lang w:eastAsia="zh-CN"/>
        </w:rPr>
      </w:pPr>
      <w:r>
        <w:rPr>
          <w:rStyle w:val="ab"/>
        </w:rPr>
        <w:footnoteRef/>
      </w:r>
      <w:r>
        <w:t xml:space="preserve"> </w:t>
      </w:r>
      <w:r>
        <w:rPr>
          <w:rFonts w:eastAsiaTheme="minorEastAsia"/>
          <w:lang w:eastAsia="zh-CN"/>
        </w:rPr>
        <w:tab/>
      </w:r>
      <w:r>
        <w:t>The British Business Bank, “UK Export Finance”, available at</w:t>
      </w:r>
      <w:r>
        <w:rPr>
          <w:rFonts w:eastAsiaTheme="minorEastAsia" w:hint="eastAsia"/>
          <w:lang w:eastAsia="zh-CN"/>
        </w:rPr>
        <w:t xml:space="preserve"> </w:t>
      </w:r>
      <w:hyperlink r:id="rId1" w:history="1">
        <w:r w:rsidRPr="000A289A">
          <w:rPr>
            <w:rStyle w:val="a4"/>
          </w:rPr>
          <w:t>www.british-business-bank.co.uk/export-fi</w:t>
        </w:r>
        <w:r w:rsidRPr="000A289A">
          <w:rPr>
            <w:rStyle w:val="a4"/>
            <w:rFonts w:eastAsiaTheme="minorEastAsia" w:hint="eastAsia"/>
            <w:lang w:eastAsia="zh-CN"/>
          </w:rPr>
          <w:t>nance</w:t>
        </w:r>
      </w:hyperlink>
    </w:p>
  </w:footnote>
  <w:footnote w:id="31">
    <w:p w14:paraId="520DED2C" w14:textId="00490334" w:rsidR="00DF2611" w:rsidRPr="00DF2611" w:rsidRDefault="00DF2611">
      <w:pPr>
        <w:pStyle w:val="a6"/>
        <w:rPr>
          <w:rFonts w:ascii="Arial" w:eastAsiaTheme="minorEastAsia" w:hAnsi="Arial" w:cs="Arial"/>
          <w:lang w:eastAsia="zh-CN"/>
        </w:rPr>
      </w:pPr>
      <w:r>
        <w:rPr>
          <w:rStyle w:val="ab"/>
        </w:rPr>
        <w:footnoteRef/>
      </w:r>
      <w:r>
        <w:t xml:space="preserve"> </w:t>
      </w:r>
      <w:r>
        <w:rPr>
          <w:rFonts w:eastAsiaTheme="minorEastAsia"/>
          <w:lang w:eastAsia="zh-CN"/>
        </w:rPr>
        <w:tab/>
      </w:r>
      <w:bookmarkStart w:id="20" w:name="_Hlk161120467"/>
      <w:r w:rsidRPr="00DF2611">
        <w:rPr>
          <w:rFonts w:ascii="Arial" w:hAnsi="Arial" w:cs="Arial"/>
        </w:rPr>
        <w:t xml:space="preserve">Panel Report, </w:t>
      </w:r>
      <w:r w:rsidRPr="00DF2611">
        <w:rPr>
          <w:rFonts w:ascii="Arial" w:hAnsi="Arial" w:cs="Arial"/>
          <w:i/>
        </w:rPr>
        <w:t xml:space="preserve">EC and certain member States – Large Civil Aircraft </w:t>
      </w:r>
      <w:r w:rsidRPr="00DF2611">
        <w:rPr>
          <w:rFonts w:ascii="Arial" w:hAnsi="Arial" w:cs="Arial"/>
        </w:rPr>
        <w:t>paras. 7.304 and 7.735.</w:t>
      </w:r>
      <w:bookmarkEnd w:id="20"/>
    </w:p>
  </w:footnote>
  <w:footnote w:id="32">
    <w:p w14:paraId="5329ECDC" w14:textId="03A43EFF" w:rsidR="00B30A18" w:rsidRPr="00B30A18" w:rsidRDefault="00B30A18" w:rsidP="00B30A18">
      <w:pPr>
        <w:pStyle w:val="a6"/>
        <w:rPr>
          <w:rFonts w:ascii="Arial" w:eastAsiaTheme="minorEastAsia" w:hAnsi="Arial" w:cs="Arial"/>
          <w:lang w:eastAsia="zh-CN"/>
        </w:rPr>
      </w:pPr>
      <w:r>
        <w:rPr>
          <w:rStyle w:val="ab"/>
        </w:rPr>
        <w:footnoteRef/>
      </w:r>
      <w:r>
        <w:t xml:space="preserve"> </w:t>
      </w:r>
      <w:r>
        <w:rPr>
          <w:rFonts w:eastAsiaTheme="minorEastAsia"/>
          <w:lang w:eastAsia="zh-CN"/>
        </w:rPr>
        <w:tab/>
      </w:r>
      <w:r w:rsidRPr="00B30A18">
        <w:rPr>
          <w:rFonts w:ascii="Arial" w:eastAsiaTheme="minorEastAsia" w:hAnsi="Arial" w:cs="Arial"/>
          <w:lang w:eastAsia="zh-CN"/>
        </w:rPr>
        <w:t xml:space="preserve">ibid. See also: Appellate Body Report, </w:t>
      </w:r>
      <w:r w:rsidRPr="00B30A18">
        <w:rPr>
          <w:rFonts w:ascii="Arial" w:eastAsiaTheme="minorEastAsia" w:hAnsi="Arial" w:cs="Arial"/>
          <w:i/>
          <w:iCs/>
          <w:lang w:eastAsia="zh-CN"/>
        </w:rPr>
        <w:t>US – Large Civil Aircraft</w:t>
      </w:r>
      <w:r w:rsidRPr="00B30A18">
        <w:rPr>
          <w:rFonts w:ascii="Arial" w:eastAsiaTheme="minorEastAsia" w:hAnsi="Arial" w:cs="Arial"/>
          <w:lang w:eastAsia="zh-CN"/>
        </w:rPr>
        <w:t xml:space="preserve">, para. 635; and Appellate Body Report, </w:t>
      </w:r>
      <w:r w:rsidRPr="00B30A18">
        <w:rPr>
          <w:rFonts w:ascii="Arial" w:eastAsiaTheme="minorEastAsia" w:hAnsi="Arial" w:cs="Arial"/>
          <w:i/>
          <w:iCs/>
          <w:lang w:eastAsia="zh-CN"/>
        </w:rPr>
        <w:t>Canada – Aircraft</w:t>
      </w:r>
      <w:r w:rsidRPr="00B30A18">
        <w:rPr>
          <w:rFonts w:ascii="Arial" w:eastAsiaTheme="minorEastAsia" w:hAnsi="Arial" w:cs="Arial"/>
          <w:lang w:eastAsia="zh-CN"/>
        </w:rPr>
        <w:t>, para. 157.</w:t>
      </w:r>
    </w:p>
  </w:footnote>
  <w:footnote w:id="33">
    <w:p w14:paraId="6D8F42E5" w14:textId="2DDA832F" w:rsidR="00B30A18" w:rsidRPr="00B30A18" w:rsidRDefault="00B30A18">
      <w:pPr>
        <w:pStyle w:val="a6"/>
        <w:rPr>
          <w:rFonts w:ascii="Arial" w:eastAsiaTheme="minorEastAsia" w:hAnsi="Arial" w:cs="Arial"/>
          <w:lang w:eastAsia="zh-CN"/>
        </w:rPr>
      </w:pPr>
      <w:r>
        <w:rPr>
          <w:rStyle w:val="ab"/>
        </w:rPr>
        <w:footnoteRef/>
      </w:r>
      <w:r>
        <w:t xml:space="preserve"> </w:t>
      </w:r>
      <w:r>
        <w:rPr>
          <w:rFonts w:eastAsiaTheme="minorEastAsia"/>
          <w:lang w:eastAsia="zh-CN"/>
        </w:rPr>
        <w:tab/>
      </w:r>
      <w:bookmarkStart w:id="23" w:name="_Hlk161121196"/>
      <w:r w:rsidRPr="00B30A18">
        <w:rPr>
          <w:rFonts w:ascii="Arial" w:hAnsi="Arial" w:cs="Arial"/>
        </w:rPr>
        <w:t xml:space="preserve">Appellate Body Report, </w:t>
      </w:r>
      <w:r w:rsidRPr="00B30A18">
        <w:rPr>
          <w:rFonts w:ascii="Arial" w:hAnsi="Arial" w:cs="Arial"/>
          <w:i/>
        </w:rPr>
        <w:t xml:space="preserve">EC and certain member States – Large Civil Aircraft, </w:t>
      </w:r>
      <w:r w:rsidRPr="00B30A18">
        <w:rPr>
          <w:rFonts w:ascii="Arial" w:hAnsi="Arial" w:cs="Arial"/>
        </w:rPr>
        <w:t>para. 973; Appellate Body Report,</w:t>
      </w:r>
      <w:r w:rsidRPr="00B30A18">
        <w:rPr>
          <w:rFonts w:ascii="Arial" w:eastAsiaTheme="minorEastAsia" w:hAnsi="Arial" w:cs="Arial"/>
          <w:lang w:eastAsia="zh-CN"/>
        </w:rPr>
        <w:t xml:space="preserve"> </w:t>
      </w:r>
      <w:r w:rsidRPr="00B30A18">
        <w:rPr>
          <w:rFonts w:ascii="Arial" w:hAnsi="Arial" w:cs="Arial"/>
          <w:i/>
        </w:rPr>
        <w:t>US – Large Civil Aircraft</w:t>
      </w:r>
      <w:r w:rsidRPr="00B30A18">
        <w:rPr>
          <w:rFonts w:ascii="Arial" w:hAnsi="Arial" w:cs="Arial"/>
        </w:rPr>
        <w:t xml:space="preserve">, para. 635; and Appellate Body Report, </w:t>
      </w:r>
      <w:r w:rsidRPr="00B30A18">
        <w:rPr>
          <w:rFonts w:ascii="Arial" w:hAnsi="Arial" w:cs="Arial"/>
          <w:i/>
        </w:rPr>
        <w:t>Canada – Aircraft</w:t>
      </w:r>
      <w:r w:rsidRPr="00B30A18">
        <w:rPr>
          <w:rFonts w:ascii="Arial" w:hAnsi="Arial" w:cs="Arial"/>
        </w:rPr>
        <w:t>, para. 158.</w:t>
      </w:r>
      <w:bookmarkEnd w:id="23"/>
    </w:p>
  </w:footnote>
  <w:footnote w:id="34">
    <w:p w14:paraId="64B51D3D" w14:textId="6EB04257" w:rsidR="00B30A18" w:rsidRPr="00B30A18" w:rsidRDefault="00B30A18">
      <w:pPr>
        <w:pStyle w:val="a6"/>
        <w:rPr>
          <w:rFonts w:eastAsiaTheme="minorEastAsia"/>
          <w:lang w:eastAsia="zh-CN"/>
        </w:rPr>
      </w:pPr>
      <w:r>
        <w:rPr>
          <w:rStyle w:val="ab"/>
        </w:rPr>
        <w:footnoteRef/>
      </w:r>
      <w:r>
        <w:t xml:space="preserve"> </w:t>
      </w:r>
      <w:r>
        <w:rPr>
          <w:rFonts w:eastAsiaTheme="minorEastAsia"/>
          <w:lang w:eastAsia="zh-CN"/>
        </w:rPr>
        <w:tab/>
      </w:r>
      <w:bookmarkStart w:id="24" w:name="_Hlk161121258"/>
      <w:r>
        <w:t xml:space="preserve">Panel Report, </w:t>
      </w:r>
      <w:r>
        <w:rPr>
          <w:i/>
        </w:rPr>
        <w:t>EC and certain member States – Large Civil Aircraft</w:t>
      </w:r>
      <w:r>
        <w:t>, para.</w:t>
      </w:r>
      <w:r>
        <w:rPr>
          <w:spacing w:val="-13"/>
        </w:rPr>
        <w:t xml:space="preserve"> </w:t>
      </w:r>
      <w:r>
        <w:t>7.884.</w:t>
      </w:r>
      <w:bookmarkEnd w:id="24"/>
    </w:p>
  </w:footnote>
  <w:footnote w:id="35">
    <w:p w14:paraId="6F5F03D1" w14:textId="3561651D" w:rsidR="003627B4" w:rsidRPr="003627B4" w:rsidRDefault="003627B4">
      <w:pPr>
        <w:pStyle w:val="a6"/>
        <w:rPr>
          <w:rFonts w:eastAsiaTheme="minorEastAsia"/>
          <w:lang w:eastAsia="zh-CN"/>
        </w:rPr>
      </w:pPr>
      <w:r>
        <w:rPr>
          <w:rStyle w:val="ab"/>
        </w:rPr>
        <w:footnoteRef/>
      </w:r>
      <w:r>
        <w:t xml:space="preserve"> </w:t>
      </w:r>
      <w:r>
        <w:rPr>
          <w:rFonts w:eastAsiaTheme="minorEastAsia"/>
          <w:lang w:eastAsia="zh-CN"/>
        </w:rPr>
        <w:tab/>
      </w:r>
      <w:bookmarkStart w:id="26" w:name="_Hlk161121632"/>
      <w:r>
        <w:t xml:space="preserve">Panel Report, </w:t>
      </w:r>
      <w:r>
        <w:rPr>
          <w:i/>
        </w:rPr>
        <w:t xml:space="preserve">China – GOES, </w:t>
      </w:r>
      <w:r>
        <w:t>para. 7.66.</w:t>
      </w:r>
      <w:bookmarkEnd w:id="26"/>
    </w:p>
  </w:footnote>
  <w:footnote w:id="36">
    <w:p w14:paraId="69E4B516" w14:textId="3BD110F6" w:rsidR="00354C68" w:rsidRPr="00354C68" w:rsidRDefault="00354C68">
      <w:pPr>
        <w:pStyle w:val="a6"/>
        <w:rPr>
          <w:rFonts w:eastAsiaTheme="minorEastAsia"/>
          <w:lang w:eastAsia="zh-CN"/>
        </w:rPr>
      </w:pPr>
      <w:r>
        <w:rPr>
          <w:rStyle w:val="ab"/>
        </w:rPr>
        <w:footnoteRef/>
      </w:r>
      <w:r>
        <w:t xml:space="preserve"> </w:t>
      </w:r>
      <w:r>
        <w:rPr>
          <w:rFonts w:eastAsiaTheme="minorEastAsia"/>
          <w:lang w:eastAsia="zh-CN"/>
        </w:rPr>
        <w:tab/>
      </w:r>
      <w:bookmarkStart w:id="29" w:name="_Hlk161122457"/>
      <w:r>
        <w:t xml:space="preserve">Application, </w:t>
      </w:r>
      <w:r>
        <w:rPr>
          <w:rFonts w:eastAsiaTheme="minorEastAsia" w:hint="eastAsia"/>
          <w:lang w:eastAsia="zh-CN"/>
        </w:rPr>
        <w:t>F.2.001,</w:t>
      </w:r>
      <w:r>
        <w:t xml:space="preserve"> </w:t>
      </w:r>
      <w:r>
        <w:rPr>
          <w:rFonts w:eastAsiaTheme="minorEastAsia" w:hint="eastAsia"/>
          <w:lang w:eastAsia="zh-CN"/>
        </w:rPr>
        <w:t>page 25</w:t>
      </w:r>
      <w:r>
        <w:t>.</w:t>
      </w:r>
      <w:bookmarkEnd w:id="29"/>
    </w:p>
  </w:footnote>
  <w:footnote w:id="37">
    <w:p w14:paraId="3CB32068" w14:textId="48254A01" w:rsidR="00354C68" w:rsidRPr="00BA0E9E" w:rsidRDefault="00354C68">
      <w:pPr>
        <w:pStyle w:val="a6"/>
        <w:rPr>
          <w:rFonts w:eastAsiaTheme="minorEastAsia"/>
          <w:lang w:val="fr-FR" w:eastAsia="zh-CN"/>
        </w:rPr>
      </w:pPr>
      <w:r>
        <w:rPr>
          <w:rStyle w:val="ab"/>
        </w:rPr>
        <w:footnoteRef/>
      </w:r>
      <w:r>
        <w:t xml:space="preserve"> </w:t>
      </w:r>
      <w:r>
        <w:rPr>
          <w:rFonts w:eastAsiaTheme="minorEastAsia"/>
          <w:lang w:eastAsia="zh-CN"/>
        </w:rPr>
        <w:tab/>
      </w:r>
      <w:bookmarkStart w:id="31" w:name="_Hlk161122732"/>
      <w:r>
        <w:t xml:space="preserve">Appellate Body Report, </w:t>
      </w:r>
      <w:r>
        <w:rPr>
          <w:i/>
        </w:rPr>
        <w:t>US – CVD</w:t>
      </w:r>
      <w:r>
        <w:t xml:space="preserve">, para. </w:t>
      </w:r>
      <w:r w:rsidRPr="00BA0E9E">
        <w:rPr>
          <w:lang w:val="fr-FR"/>
        </w:rPr>
        <w:t>4.167.</w:t>
      </w:r>
      <w:bookmarkEnd w:id="31"/>
    </w:p>
  </w:footnote>
  <w:footnote w:id="38">
    <w:p w14:paraId="5E66FC14" w14:textId="5D775A83" w:rsidR="00E7126F" w:rsidRPr="00E7126F" w:rsidRDefault="00E7126F">
      <w:pPr>
        <w:pStyle w:val="a6"/>
        <w:rPr>
          <w:rFonts w:eastAsiaTheme="minorEastAsia"/>
          <w:lang w:val="fr-FR" w:eastAsia="zh-CN"/>
        </w:rPr>
      </w:pPr>
      <w:r>
        <w:rPr>
          <w:rStyle w:val="ab"/>
        </w:rPr>
        <w:footnoteRef/>
      </w:r>
      <w:r w:rsidRPr="00E7126F">
        <w:rPr>
          <w:lang w:val="fr-FR"/>
        </w:rPr>
        <w:t xml:space="preserve"> </w:t>
      </w:r>
      <w:r w:rsidRPr="00E7126F">
        <w:rPr>
          <w:rFonts w:eastAsiaTheme="minorEastAsia"/>
          <w:lang w:val="fr-FR" w:eastAsia="zh-CN"/>
        </w:rPr>
        <w:tab/>
      </w:r>
      <w:r w:rsidRPr="00E7126F">
        <w:rPr>
          <w:lang w:val="fr-FR"/>
        </w:rPr>
        <w:t xml:space="preserve">Application, </w:t>
      </w:r>
      <w:r w:rsidRPr="00E7126F">
        <w:rPr>
          <w:rFonts w:eastAsiaTheme="minorEastAsia" w:hint="eastAsia"/>
          <w:lang w:val="fr-FR" w:eastAsia="zh-CN"/>
        </w:rPr>
        <w:t>F.2.001,</w:t>
      </w:r>
      <w:r w:rsidRPr="00E7126F">
        <w:rPr>
          <w:lang w:val="fr-FR"/>
        </w:rPr>
        <w:t xml:space="preserve"> </w:t>
      </w:r>
      <w:r w:rsidRPr="00E7126F">
        <w:rPr>
          <w:rFonts w:eastAsiaTheme="minorEastAsia" w:hint="eastAsia"/>
          <w:lang w:val="fr-FR" w:eastAsia="zh-CN"/>
        </w:rPr>
        <w:t>page 30</w:t>
      </w:r>
      <w:r w:rsidRPr="00E7126F">
        <w:rPr>
          <w:lang w:val="fr-FR"/>
        </w:rPr>
        <w:t>.</w:t>
      </w:r>
    </w:p>
  </w:footnote>
  <w:footnote w:id="39">
    <w:p w14:paraId="51C2A016" w14:textId="174ED1F6" w:rsidR="00E7126F" w:rsidRPr="00E7126F" w:rsidRDefault="00E7126F" w:rsidP="00E7126F">
      <w:pPr>
        <w:pStyle w:val="a6"/>
        <w:rPr>
          <w:rFonts w:eastAsiaTheme="minorEastAsia"/>
          <w:lang w:val="fr-FR" w:eastAsia="zh-CN"/>
        </w:rPr>
      </w:pPr>
      <w:r>
        <w:rPr>
          <w:rStyle w:val="ab"/>
        </w:rPr>
        <w:footnoteRef/>
      </w:r>
      <w:r w:rsidRPr="00E7126F">
        <w:rPr>
          <w:lang w:val="fr-FR"/>
        </w:rPr>
        <w:t xml:space="preserve"> </w:t>
      </w:r>
      <w:r w:rsidRPr="00E7126F">
        <w:rPr>
          <w:rFonts w:eastAsiaTheme="minorEastAsia"/>
          <w:lang w:val="fr-FR" w:eastAsia="zh-CN"/>
        </w:rPr>
        <w:tab/>
      </w:r>
      <w:r w:rsidRPr="00E7126F">
        <w:rPr>
          <w:lang w:val="fr-FR"/>
        </w:rPr>
        <w:t xml:space="preserve">Application, </w:t>
      </w:r>
      <w:r w:rsidRPr="00E7126F">
        <w:rPr>
          <w:rFonts w:eastAsiaTheme="minorEastAsia" w:hint="eastAsia"/>
          <w:lang w:val="fr-FR" w:eastAsia="zh-CN"/>
        </w:rPr>
        <w:t>F.2.001,</w:t>
      </w:r>
      <w:r w:rsidRPr="00E7126F">
        <w:rPr>
          <w:lang w:val="fr-FR"/>
        </w:rPr>
        <w:t xml:space="preserve"> </w:t>
      </w:r>
      <w:r w:rsidRPr="00E7126F">
        <w:rPr>
          <w:rFonts w:eastAsiaTheme="minorEastAsia" w:hint="eastAsia"/>
          <w:lang w:val="fr-FR" w:eastAsia="zh-CN"/>
        </w:rPr>
        <w:t xml:space="preserve">page </w:t>
      </w:r>
      <w:r>
        <w:rPr>
          <w:rFonts w:eastAsiaTheme="minorEastAsia" w:hint="eastAsia"/>
          <w:lang w:val="fr-FR" w:eastAsia="zh-CN"/>
        </w:rPr>
        <w:t>29</w:t>
      </w:r>
      <w:r w:rsidRPr="00E7126F">
        <w:rPr>
          <w:lang w:val="fr-FR"/>
        </w:rPr>
        <w:t>.</w:t>
      </w:r>
    </w:p>
  </w:footnote>
  <w:footnote w:id="40">
    <w:p w14:paraId="5AF6C33F" w14:textId="40149B9C" w:rsidR="00B45993" w:rsidRPr="00B45993" w:rsidRDefault="00B45993">
      <w:pPr>
        <w:pStyle w:val="a6"/>
        <w:rPr>
          <w:rFonts w:eastAsiaTheme="minorEastAsia"/>
          <w:lang w:eastAsia="zh-CN"/>
        </w:rPr>
      </w:pPr>
      <w:r>
        <w:rPr>
          <w:rStyle w:val="ab"/>
        </w:rPr>
        <w:footnoteRef/>
      </w:r>
      <w:r w:rsidRPr="00B45993">
        <w:t xml:space="preserve"> </w:t>
      </w:r>
      <w:r w:rsidRPr="00B45993">
        <w:rPr>
          <w:rFonts w:eastAsiaTheme="minorEastAsia"/>
          <w:lang w:eastAsia="zh-CN"/>
        </w:rPr>
        <w:tab/>
      </w:r>
      <w:r w:rsidRPr="00B45993">
        <w:rPr>
          <w:rFonts w:eastAsiaTheme="minorEastAsia" w:hint="eastAsia"/>
          <w:lang w:eastAsia="zh-CN"/>
        </w:rPr>
        <w:t>Application, F.0.201, page 55</w:t>
      </w:r>
    </w:p>
  </w:footnote>
  <w:footnote w:id="41">
    <w:p w14:paraId="3A72DA9E" w14:textId="40C72435" w:rsidR="00B45993" w:rsidRPr="00B45993" w:rsidRDefault="00B45993">
      <w:pPr>
        <w:pStyle w:val="a6"/>
        <w:rPr>
          <w:rFonts w:eastAsiaTheme="minorEastAsia"/>
          <w:lang w:eastAsia="zh-CN"/>
        </w:rPr>
      </w:pPr>
      <w:r>
        <w:rPr>
          <w:rStyle w:val="ab"/>
        </w:rPr>
        <w:footnoteRef/>
      </w:r>
      <w:r>
        <w:t xml:space="preserve"> </w:t>
      </w:r>
      <w:r>
        <w:rPr>
          <w:rFonts w:eastAsiaTheme="minorEastAsia"/>
          <w:lang w:eastAsia="zh-CN"/>
        </w:rPr>
        <w:tab/>
      </w:r>
      <w:r>
        <w:t xml:space="preserve">Appellate Body Report, </w:t>
      </w:r>
      <w:r>
        <w:rPr>
          <w:i/>
        </w:rPr>
        <w:t>US – Carbon Steel (India)</w:t>
      </w:r>
      <w:r>
        <w:t>, para. 4.154.</w:t>
      </w:r>
    </w:p>
  </w:footnote>
  <w:footnote w:id="42">
    <w:p w14:paraId="6ECF0A77" w14:textId="35E090C2" w:rsidR="00B45993" w:rsidRPr="00B45993" w:rsidRDefault="00B45993">
      <w:pPr>
        <w:pStyle w:val="a6"/>
        <w:rPr>
          <w:rFonts w:eastAsiaTheme="minorEastAsia"/>
          <w:lang w:eastAsia="zh-CN"/>
        </w:rPr>
      </w:pPr>
      <w:r>
        <w:rPr>
          <w:rStyle w:val="ab"/>
        </w:rPr>
        <w:footnoteRef/>
      </w:r>
      <w:r>
        <w:t xml:space="preserve"> </w:t>
      </w:r>
      <w:r>
        <w:rPr>
          <w:rFonts w:eastAsiaTheme="minorEastAsia"/>
          <w:lang w:eastAsia="zh-CN"/>
        </w:rPr>
        <w:tab/>
      </w:r>
      <w:r>
        <w:rPr>
          <w:i/>
        </w:rPr>
        <w:t>ibid</w:t>
      </w:r>
      <w:r>
        <w:t>, para.</w:t>
      </w:r>
      <w:r>
        <w:rPr>
          <w:spacing w:val="-2"/>
        </w:rPr>
        <w:t xml:space="preserve"> </w:t>
      </w:r>
      <w:r>
        <w:t>4.168.</w:t>
      </w:r>
    </w:p>
  </w:footnote>
  <w:footnote w:id="43">
    <w:p w14:paraId="5C71BED4" w14:textId="714CD964" w:rsidR="00B45993" w:rsidRPr="00B45993" w:rsidRDefault="00B45993">
      <w:pPr>
        <w:pStyle w:val="a6"/>
        <w:rPr>
          <w:rFonts w:eastAsiaTheme="minorEastAsia"/>
          <w:lang w:eastAsia="zh-CN"/>
        </w:rPr>
      </w:pPr>
      <w:r>
        <w:rPr>
          <w:rStyle w:val="ab"/>
        </w:rPr>
        <w:footnoteRef/>
      </w:r>
      <w:r>
        <w:t xml:space="preserve"> </w:t>
      </w:r>
      <w:r>
        <w:rPr>
          <w:rFonts w:eastAsiaTheme="minorEastAsia"/>
          <w:lang w:eastAsia="zh-CN"/>
        </w:rPr>
        <w:tab/>
      </w:r>
      <w:r>
        <w:rPr>
          <w:i/>
        </w:rPr>
        <w:t>ibid</w:t>
      </w:r>
      <w:r>
        <w:t>, para.</w:t>
      </w:r>
      <w:r>
        <w:rPr>
          <w:spacing w:val="-4"/>
        </w:rPr>
        <w:t xml:space="preserve"> </w:t>
      </w:r>
      <w:r>
        <w:t>4.170.</w:t>
      </w:r>
    </w:p>
  </w:footnote>
  <w:footnote w:id="44">
    <w:p w14:paraId="7638A0D9" w14:textId="3AA3E25D" w:rsidR="00B45993" w:rsidRPr="00B45993" w:rsidRDefault="00B45993">
      <w:pPr>
        <w:pStyle w:val="a6"/>
        <w:rPr>
          <w:rFonts w:eastAsiaTheme="minorEastAsia"/>
          <w:lang w:eastAsia="zh-CN"/>
        </w:rPr>
      </w:pPr>
      <w:r>
        <w:rPr>
          <w:rStyle w:val="ab"/>
        </w:rPr>
        <w:footnoteRef/>
      </w:r>
      <w:r>
        <w:t xml:space="preserve"> </w:t>
      </w:r>
      <w:r>
        <w:rPr>
          <w:rFonts w:eastAsiaTheme="minorEastAsia"/>
          <w:lang w:eastAsia="zh-CN"/>
        </w:rPr>
        <w:tab/>
      </w:r>
      <w:r>
        <w:rPr>
          <w:i/>
        </w:rPr>
        <w:t>ibid</w:t>
      </w:r>
      <w:r>
        <w:t>, para.</w:t>
      </w:r>
      <w:r>
        <w:rPr>
          <w:spacing w:val="-3"/>
        </w:rPr>
        <w:t xml:space="preserve"> </w:t>
      </w:r>
      <w:r>
        <w:t>4.151.</w:t>
      </w:r>
    </w:p>
  </w:footnote>
  <w:footnote w:id="45">
    <w:p w14:paraId="1B881FC7" w14:textId="7A1390C5" w:rsidR="00B45993" w:rsidRPr="00B45993" w:rsidRDefault="00B45993">
      <w:pPr>
        <w:pStyle w:val="a6"/>
        <w:rPr>
          <w:rFonts w:eastAsiaTheme="minorEastAsia"/>
          <w:lang w:eastAsia="zh-CN"/>
        </w:rPr>
      </w:pPr>
      <w:r>
        <w:rPr>
          <w:rStyle w:val="ab"/>
        </w:rPr>
        <w:footnoteRef/>
      </w:r>
      <w:r>
        <w:t xml:space="preserve"> </w:t>
      </w:r>
      <w:r>
        <w:rPr>
          <w:rFonts w:eastAsiaTheme="minorEastAsia"/>
          <w:lang w:eastAsia="zh-CN"/>
        </w:rPr>
        <w:tab/>
      </w:r>
      <w:bookmarkStart w:id="35" w:name="_Hlk161295292"/>
      <w:r>
        <w:t xml:space="preserve">Appellate Body Report, </w:t>
      </w:r>
      <w:r>
        <w:rPr>
          <w:i/>
        </w:rPr>
        <w:t>US – Carbon Steel (India)</w:t>
      </w:r>
      <w:r>
        <w:t>, para. 4.</w:t>
      </w:r>
      <w:r w:rsidRPr="00B45993">
        <w:t xml:space="preserve"> </w:t>
      </w:r>
      <w:r>
        <w:t>154.</w:t>
      </w:r>
      <w:bookmarkEnd w:id="35"/>
    </w:p>
  </w:footnote>
  <w:footnote w:id="46">
    <w:p w14:paraId="0000B28F" w14:textId="1DDFF137" w:rsidR="00B45993" w:rsidRPr="00B45993" w:rsidRDefault="00B45993">
      <w:pPr>
        <w:pStyle w:val="a6"/>
        <w:rPr>
          <w:rFonts w:eastAsiaTheme="minorEastAsia"/>
          <w:lang w:eastAsia="zh-CN"/>
        </w:rPr>
      </w:pPr>
      <w:r>
        <w:rPr>
          <w:rStyle w:val="ab"/>
        </w:rPr>
        <w:footnoteRef/>
      </w:r>
      <w:r>
        <w:t xml:space="preserve"> </w:t>
      </w:r>
      <w:r>
        <w:rPr>
          <w:rFonts w:eastAsiaTheme="minorEastAsia"/>
          <w:lang w:eastAsia="zh-CN"/>
        </w:rPr>
        <w:tab/>
      </w:r>
      <w:r>
        <w:t xml:space="preserve">Appellate Body Report </w:t>
      </w:r>
      <w:r>
        <w:rPr>
          <w:i/>
        </w:rPr>
        <w:t>US – Softwood Lumber IV</w:t>
      </w:r>
      <w:r>
        <w:t xml:space="preserve">, para. 106; Panel Report, </w:t>
      </w:r>
      <w:r>
        <w:rPr>
          <w:i/>
        </w:rPr>
        <w:t>US – AD and CVD (China)</w:t>
      </w:r>
      <w:r>
        <w:t xml:space="preserve">, para. 10.187; Appellate Body Report </w:t>
      </w:r>
      <w:r>
        <w:rPr>
          <w:i/>
        </w:rPr>
        <w:t>US — Carbon Steel (India)</w:t>
      </w:r>
      <w:r>
        <w:t>, para.4.158.</w:t>
      </w:r>
    </w:p>
  </w:footnote>
  <w:footnote w:id="47">
    <w:p w14:paraId="1B86942B" w14:textId="0926422E" w:rsidR="00B45993" w:rsidRPr="00B45993" w:rsidRDefault="00B45993">
      <w:pPr>
        <w:pStyle w:val="a6"/>
        <w:rPr>
          <w:rFonts w:eastAsiaTheme="minorEastAsia"/>
          <w:lang w:eastAsia="zh-CN"/>
        </w:rPr>
      </w:pPr>
      <w:r>
        <w:rPr>
          <w:rStyle w:val="ab"/>
        </w:rPr>
        <w:footnoteRef/>
      </w:r>
      <w:r>
        <w:t xml:space="preserve"> </w:t>
      </w:r>
      <w:r>
        <w:rPr>
          <w:rFonts w:eastAsiaTheme="minorEastAsia"/>
          <w:lang w:eastAsia="zh-CN"/>
        </w:rPr>
        <w:tab/>
      </w:r>
      <w:r>
        <w:t xml:space="preserve">Appellate Body Reports, </w:t>
      </w:r>
      <w:r>
        <w:rPr>
          <w:i/>
        </w:rPr>
        <w:t>Canada – Renewable Energy / Canada – Feed-in Tariff Program</w:t>
      </w:r>
      <w:r>
        <w:t>, para. 5.228.</w:t>
      </w:r>
    </w:p>
  </w:footnote>
  <w:footnote w:id="48">
    <w:p w14:paraId="551A42F3" w14:textId="1FE7F905" w:rsidR="002A1172" w:rsidRPr="002A1172" w:rsidRDefault="002A1172">
      <w:pPr>
        <w:pStyle w:val="a6"/>
        <w:rPr>
          <w:rFonts w:eastAsiaTheme="minorEastAsia"/>
          <w:lang w:eastAsia="zh-CN"/>
        </w:rPr>
      </w:pPr>
      <w:r>
        <w:rPr>
          <w:rStyle w:val="ab"/>
        </w:rPr>
        <w:footnoteRef/>
      </w:r>
      <w:r>
        <w:t xml:space="preserve"> </w:t>
      </w:r>
      <w:r>
        <w:rPr>
          <w:rFonts w:eastAsiaTheme="minorEastAsia"/>
          <w:lang w:eastAsia="zh-CN"/>
        </w:rPr>
        <w:tab/>
      </w:r>
      <w:r>
        <w:rPr>
          <w:rFonts w:eastAsiaTheme="minorEastAsia" w:hint="eastAsia"/>
          <w:lang w:eastAsia="zh-CN"/>
        </w:rPr>
        <w:t>Application, F.2.001, page 50</w:t>
      </w:r>
    </w:p>
  </w:footnote>
  <w:footnote w:id="49">
    <w:p w14:paraId="1A69B8BC" w14:textId="1EB0B614" w:rsidR="002A1172" w:rsidRPr="002A1172" w:rsidRDefault="002A1172">
      <w:pPr>
        <w:pStyle w:val="a6"/>
        <w:rPr>
          <w:rFonts w:eastAsiaTheme="minorEastAsia"/>
          <w:lang w:eastAsia="zh-CN"/>
        </w:rPr>
      </w:pPr>
      <w:r>
        <w:rPr>
          <w:rStyle w:val="ab"/>
        </w:rPr>
        <w:footnoteRef/>
      </w:r>
      <w:r>
        <w:t xml:space="preserve"> </w:t>
      </w:r>
      <w:r>
        <w:rPr>
          <w:rFonts w:eastAsiaTheme="minorEastAsia"/>
          <w:lang w:eastAsia="zh-CN"/>
        </w:rPr>
        <w:tab/>
      </w:r>
      <w:r w:rsidRPr="002A1172">
        <w:rPr>
          <w:rFonts w:eastAsiaTheme="minorEastAsia"/>
          <w:i/>
          <w:iCs/>
          <w:lang w:eastAsia="zh-CN"/>
        </w:rPr>
        <w:t>I</w:t>
      </w:r>
      <w:r w:rsidRPr="002A1172">
        <w:rPr>
          <w:rFonts w:eastAsiaTheme="minorEastAsia" w:hint="eastAsia"/>
          <w:i/>
          <w:iCs/>
          <w:lang w:eastAsia="zh-CN"/>
        </w:rPr>
        <w:t>bid</w:t>
      </w:r>
      <w:r>
        <w:rPr>
          <w:rFonts w:eastAsiaTheme="minorEastAsia" w:hint="eastAsia"/>
          <w:i/>
          <w:iCs/>
          <w:lang w:eastAsia="zh-CN"/>
        </w:rPr>
        <w:t>.</w:t>
      </w:r>
    </w:p>
  </w:footnote>
  <w:footnote w:id="50">
    <w:p w14:paraId="4B75F79E" w14:textId="72AB51B4" w:rsidR="002A1172" w:rsidRPr="002A1172" w:rsidRDefault="002A1172">
      <w:pPr>
        <w:pStyle w:val="a6"/>
        <w:rPr>
          <w:rFonts w:eastAsiaTheme="minorEastAsia"/>
          <w:lang w:eastAsia="zh-CN"/>
        </w:rPr>
      </w:pPr>
      <w:r>
        <w:rPr>
          <w:rStyle w:val="ab"/>
        </w:rPr>
        <w:footnoteRef/>
      </w:r>
      <w:r>
        <w:t xml:space="preserve"> </w:t>
      </w:r>
      <w:r>
        <w:rPr>
          <w:rFonts w:eastAsiaTheme="minorEastAsia"/>
          <w:lang w:eastAsia="zh-CN"/>
        </w:rPr>
        <w:tab/>
      </w:r>
      <w:r w:rsidRPr="002A1172">
        <w:rPr>
          <w:rFonts w:eastAsiaTheme="minorEastAsia"/>
          <w:i/>
          <w:iCs/>
          <w:lang w:eastAsia="zh-CN"/>
        </w:rPr>
        <w:t>I</w:t>
      </w:r>
      <w:r w:rsidRPr="002A1172">
        <w:rPr>
          <w:rFonts w:eastAsiaTheme="minorEastAsia" w:hint="eastAsia"/>
          <w:i/>
          <w:iCs/>
          <w:lang w:eastAsia="zh-CN"/>
        </w:rPr>
        <w:t>bid</w:t>
      </w:r>
      <w:r>
        <w:rPr>
          <w:rFonts w:eastAsiaTheme="minorEastAsia" w:hint="eastAsia"/>
          <w:i/>
          <w:iCs/>
          <w:lang w:eastAsia="zh-CN"/>
        </w:rPr>
        <w:t>.</w:t>
      </w:r>
    </w:p>
  </w:footnote>
  <w:footnote w:id="51">
    <w:p w14:paraId="4C680A22" w14:textId="0AA1B0F6" w:rsidR="00CF2F8C" w:rsidRPr="00CF2F8C" w:rsidRDefault="00CF2F8C">
      <w:pPr>
        <w:pStyle w:val="a6"/>
        <w:rPr>
          <w:rFonts w:eastAsiaTheme="minorEastAsia"/>
          <w:lang w:eastAsia="zh-CN"/>
        </w:rPr>
      </w:pPr>
      <w:r>
        <w:rPr>
          <w:rStyle w:val="ab"/>
        </w:rPr>
        <w:footnoteRef/>
      </w:r>
      <w:r>
        <w:t xml:space="preserve"> </w:t>
      </w:r>
      <w:r>
        <w:rPr>
          <w:rFonts w:eastAsiaTheme="minorEastAsia"/>
          <w:lang w:eastAsia="zh-CN"/>
        </w:rPr>
        <w:tab/>
      </w:r>
      <w:r>
        <w:t xml:space="preserve">Appellate Body Report, </w:t>
      </w:r>
      <w:r>
        <w:rPr>
          <w:i/>
        </w:rPr>
        <w:t>US – Carbon Steel (India)</w:t>
      </w:r>
      <w:r>
        <w:t>, para. 4.20.</w:t>
      </w:r>
    </w:p>
  </w:footnote>
  <w:footnote w:id="52">
    <w:p w14:paraId="491C9560" w14:textId="10AF131D" w:rsidR="00CF2F8C" w:rsidRPr="00CF2F8C" w:rsidRDefault="00CF2F8C">
      <w:pPr>
        <w:pStyle w:val="a6"/>
        <w:rPr>
          <w:rFonts w:eastAsiaTheme="minorEastAsia"/>
          <w:lang w:eastAsia="zh-CN"/>
        </w:rPr>
      </w:pPr>
      <w:r>
        <w:rPr>
          <w:rStyle w:val="ab"/>
        </w:rPr>
        <w:footnoteRef/>
      </w:r>
      <w:r>
        <w:t xml:space="preserve"> </w:t>
      </w:r>
      <w:r>
        <w:rPr>
          <w:rFonts w:eastAsiaTheme="minorEastAsia"/>
          <w:lang w:eastAsia="zh-CN"/>
        </w:rPr>
        <w:tab/>
      </w:r>
      <w:r>
        <w:t xml:space="preserve">Appellate Body Report, </w:t>
      </w:r>
      <w:r>
        <w:rPr>
          <w:i/>
        </w:rPr>
        <w:t>US – Carbon Steel (India)</w:t>
      </w:r>
      <w:r>
        <w:t>, para. 4.36.</w:t>
      </w:r>
    </w:p>
  </w:footnote>
  <w:footnote w:id="53">
    <w:p w14:paraId="29C75846" w14:textId="3C6F7E70" w:rsidR="00CF2F8C" w:rsidRPr="00CF2F8C" w:rsidRDefault="00CF2F8C">
      <w:pPr>
        <w:pStyle w:val="a6"/>
        <w:rPr>
          <w:rFonts w:eastAsiaTheme="minorEastAsia"/>
          <w:lang w:eastAsia="zh-CN"/>
        </w:rPr>
      </w:pPr>
      <w:r>
        <w:rPr>
          <w:rStyle w:val="ab"/>
        </w:rPr>
        <w:footnoteRef/>
      </w:r>
      <w:r>
        <w:t xml:space="preserve"> </w:t>
      </w:r>
      <w:r>
        <w:rPr>
          <w:rFonts w:eastAsiaTheme="minorEastAsia"/>
          <w:lang w:eastAsia="zh-CN"/>
        </w:rPr>
        <w:tab/>
      </w:r>
      <w:r>
        <w:t xml:space="preserve">Panel Report, </w:t>
      </w:r>
      <w:r>
        <w:rPr>
          <w:i/>
        </w:rPr>
        <w:t>US – DRAMs (CVD)</w:t>
      </w:r>
      <w:r>
        <w:t>, para. 7.35.</w:t>
      </w:r>
    </w:p>
  </w:footnote>
  <w:footnote w:id="54">
    <w:p w14:paraId="3685CAB6" w14:textId="33670B90" w:rsidR="00CF2F8C" w:rsidRPr="00CF2F8C" w:rsidRDefault="00CF2F8C">
      <w:pPr>
        <w:pStyle w:val="a6"/>
        <w:rPr>
          <w:rFonts w:eastAsiaTheme="minorEastAsia"/>
          <w:lang w:eastAsia="zh-CN"/>
        </w:rPr>
      </w:pPr>
      <w:r>
        <w:rPr>
          <w:rStyle w:val="ab"/>
        </w:rPr>
        <w:footnoteRef/>
      </w:r>
      <w:r>
        <w:t xml:space="preserve"> </w:t>
      </w:r>
      <w:r>
        <w:rPr>
          <w:rFonts w:eastAsiaTheme="minorEastAsia"/>
          <w:lang w:eastAsia="zh-CN"/>
        </w:rPr>
        <w:tab/>
      </w:r>
      <w:r>
        <w:t xml:space="preserve">Appellate Body Report, </w:t>
      </w:r>
      <w:r>
        <w:rPr>
          <w:i/>
        </w:rPr>
        <w:t xml:space="preserve">US –Softwood Lumber IV, </w:t>
      </w:r>
      <w:r>
        <w:t>para. 51</w:t>
      </w:r>
    </w:p>
  </w:footnote>
  <w:footnote w:id="55">
    <w:p w14:paraId="2245A6D3" w14:textId="0E044CAE" w:rsidR="00DC1EE7" w:rsidRPr="00BA0E9E" w:rsidRDefault="00DC1EE7">
      <w:pPr>
        <w:pStyle w:val="a6"/>
        <w:rPr>
          <w:rFonts w:eastAsiaTheme="minorEastAsia"/>
          <w:lang w:eastAsia="zh-CN"/>
        </w:rPr>
      </w:pPr>
      <w:r>
        <w:rPr>
          <w:rStyle w:val="ab"/>
        </w:rPr>
        <w:footnoteRef/>
      </w:r>
      <w:r>
        <w:t xml:space="preserve"> </w:t>
      </w:r>
      <w:r>
        <w:rPr>
          <w:rFonts w:eastAsiaTheme="minorEastAsia"/>
          <w:lang w:eastAsia="zh-CN"/>
        </w:rPr>
        <w:tab/>
      </w:r>
      <w:r>
        <w:t xml:space="preserve">Panel Report, </w:t>
      </w:r>
      <w:r>
        <w:rPr>
          <w:i/>
        </w:rPr>
        <w:t>China – GOES</w:t>
      </w:r>
      <w:r>
        <w:t xml:space="preserve">, paras. </w:t>
      </w:r>
      <w:r w:rsidRPr="00BA0E9E">
        <w:t>7.71-7.74.</w:t>
      </w:r>
    </w:p>
  </w:footnote>
  <w:footnote w:id="56">
    <w:p w14:paraId="74F281D7" w14:textId="4DA91695" w:rsidR="005C47C6" w:rsidRPr="00BA0E9E" w:rsidRDefault="005C47C6">
      <w:pPr>
        <w:pStyle w:val="a6"/>
        <w:rPr>
          <w:rFonts w:eastAsiaTheme="minorEastAsia"/>
          <w:lang w:eastAsia="zh-CN"/>
        </w:rPr>
      </w:pPr>
      <w:r>
        <w:rPr>
          <w:rStyle w:val="ab"/>
        </w:rPr>
        <w:footnoteRef/>
      </w:r>
      <w:r w:rsidRPr="00BA0E9E">
        <w:t xml:space="preserve"> </w:t>
      </w:r>
      <w:r w:rsidRPr="00BA0E9E">
        <w:rPr>
          <w:rFonts w:eastAsiaTheme="minorEastAsia"/>
          <w:lang w:eastAsia="zh-CN"/>
        </w:rPr>
        <w:tab/>
      </w:r>
      <w:r w:rsidRPr="00BA0E9E">
        <w:rPr>
          <w:rFonts w:eastAsiaTheme="minorEastAsia" w:hint="eastAsia"/>
          <w:lang w:eastAsia="zh-CN"/>
        </w:rPr>
        <w:t>Application, F.0.201, page 62</w:t>
      </w:r>
    </w:p>
  </w:footnote>
  <w:footnote w:id="57">
    <w:p w14:paraId="65E980B8" w14:textId="6DC5A29D" w:rsidR="00810D2D" w:rsidRPr="00810D2D" w:rsidRDefault="00810D2D">
      <w:pPr>
        <w:pStyle w:val="a6"/>
        <w:rPr>
          <w:rFonts w:eastAsiaTheme="minorEastAsia"/>
          <w:lang w:eastAsia="zh-CN"/>
        </w:rPr>
      </w:pPr>
      <w:r>
        <w:rPr>
          <w:rStyle w:val="ab"/>
        </w:rPr>
        <w:footnoteRef/>
      </w:r>
      <w:r>
        <w:t xml:space="preserve"> </w:t>
      </w:r>
      <w:r>
        <w:rPr>
          <w:rFonts w:eastAsiaTheme="minorEastAsia"/>
          <w:lang w:eastAsia="zh-CN"/>
        </w:rPr>
        <w:tab/>
      </w:r>
      <w:r>
        <w:t xml:space="preserve">Panel Report, </w:t>
      </w:r>
      <w:r>
        <w:rPr>
          <w:i/>
        </w:rPr>
        <w:t>EC and certain member States – Large Civil Aircraft</w:t>
      </w:r>
      <w:r>
        <w:t>, para. 7.2083.</w:t>
      </w:r>
    </w:p>
  </w:footnote>
  <w:footnote w:id="58">
    <w:p w14:paraId="4B199569" w14:textId="77777777" w:rsidR="0081799D" w:rsidRPr="00191639" w:rsidRDefault="0081799D" w:rsidP="0081799D">
      <w:pPr>
        <w:pStyle w:val="a6"/>
        <w:rPr>
          <w:rFonts w:ascii="Arial" w:hAnsi="Arial" w:cs="Arial"/>
        </w:rPr>
      </w:pPr>
      <w:r w:rsidRPr="00191639">
        <w:rPr>
          <w:rStyle w:val="ab"/>
          <w:rFonts w:ascii="Arial" w:hAnsi="Arial" w:cs="Arial"/>
        </w:rPr>
        <w:footnoteRef/>
      </w:r>
      <w:r w:rsidRPr="00191639">
        <w:rPr>
          <w:rFonts w:ascii="Arial" w:hAnsi="Arial" w:cs="Arial"/>
        </w:rPr>
        <w:t>.</w:t>
      </w:r>
      <w:r w:rsidRPr="00191639">
        <w:rPr>
          <w:rFonts w:ascii="Arial" w:hAnsi="Arial" w:cs="Arial"/>
        </w:rPr>
        <w:tab/>
        <w:t xml:space="preserve">The Panel in </w:t>
      </w:r>
      <w:r w:rsidRPr="00191639">
        <w:rPr>
          <w:rFonts w:ascii="Arial" w:hAnsi="Arial" w:cs="Arial"/>
          <w:i/>
        </w:rPr>
        <w:t xml:space="preserve">China </w:t>
      </w:r>
      <w:r w:rsidRPr="00191639">
        <w:rPr>
          <w:rFonts w:ascii="Arial" w:hAnsi="Arial" w:cs="Arial"/>
          <w:i/>
          <w:iCs/>
          <w:color w:val="000000"/>
        </w:rPr>
        <w:t>–</w:t>
      </w:r>
      <w:r w:rsidRPr="00191639">
        <w:rPr>
          <w:rFonts w:ascii="Arial" w:hAnsi="Arial" w:cs="Arial"/>
          <w:i/>
        </w:rPr>
        <w:t xml:space="preserve"> GOES</w:t>
      </w:r>
      <w:r w:rsidRPr="00191639">
        <w:rPr>
          <w:rFonts w:ascii="Arial" w:hAnsi="Arial" w:cs="Arial"/>
        </w:rPr>
        <w:t xml:space="preserve"> underlined that the existence of subsidy refers to a present subsidy and not to some historical subsidy given to some company. See para. 7.78.</w:t>
      </w:r>
    </w:p>
  </w:footnote>
  <w:footnote w:id="59">
    <w:p w14:paraId="2F85BC61" w14:textId="77777777" w:rsidR="0081799D" w:rsidRPr="00191639" w:rsidRDefault="0081799D" w:rsidP="0081799D">
      <w:pPr>
        <w:pStyle w:val="a6"/>
        <w:rPr>
          <w:rFonts w:ascii="Arial" w:hAnsi="Arial" w:cs="Arial"/>
          <w:color w:val="000000" w:themeColor="text1"/>
        </w:rPr>
      </w:pPr>
      <w:r w:rsidRPr="00191639">
        <w:rPr>
          <w:rStyle w:val="ab"/>
          <w:rFonts w:ascii="Arial" w:hAnsi="Arial" w:cs="Arial"/>
        </w:rPr>
        <w:footnoteRef/>
      </w:r>
      <w:r w:rsidRPr="00191639">
        <w:rPr>
          <w:rFonts w:ascii="Arial" w:hAnsi="Arial" w:cs="Arial"/>
        </w:rPr>
        <w:t>.</w:t>
      </w:r>
      <w:r w:rsidRPr="00191639">
        <w:rPr>
          <w:rFonts w:ascii="Arial" w:hAnsi="Arial" w:cs="Arial"/>
        </w:rPr>
        <w:tab/>
      </w:r>
      <w:r w:rsidRPr="00191639">
        <w:rPr>
          <w:rFonts w:ascii="Arial" w:hAnsi="Arial" w:cs="Arial"/>
          <w:color w:val="000000" w:themeColor="text1"/>
        </w:rPr>
        <w:t xml:space="preserve">Panel Report, </w:t>
      </w:r>
      <w:r w:rsidRPr="00191639">
        <w:rPr>
          <w:rFonts w:ascii="Arial" w:hAnsi="Arial" w:cs="Arial"/>
          <w:i/>
          <w:iCs/>
          <w:color w:val="000000" w:themeColor="text1"/>
        </w:rPr>
        <w:t xml:space="preserve">EC </w:t>
      </w:r>
      <w:r w:rsidRPr="00191639">
        <w:rPr>
          <w:rFonts w:ascii="Arial" w:hAnsi="Arial" w:cs="Arial"/>
          <w:i/>
        </w:rPr>
        <w:t xml:space="preserve">and Certain Member States </w:t>
      </w:r>
      <w:r w:rsidRPr="00191639">
        <w:rPr>
          <w:rFonts w:ascii="Arial" w:hAnsi="Arial" w:cs="Arial"/>
          <w:i/>
          <w:iCs/>
          <w:color w:val="000000"/>
        </w:rPr>
        <w:t>–</w:t>
      </w:r>
      <w:r w:rsidRPr="00191639">
        <w:rPr>
          <w:rFonts w:ascii="Arial" w:hAnsi="Arial" w:cs="Arial"/>
          <w:i/>
        </w:rPr>
        <w:t xml:space="preserve"> Large Civil </w:t>
      </w:r>
      <w:r w:rsidRPr="00191639">
        <w:rPr>
          <w:rFonts w:ascii="Arial" w:hAnsi="Arial" w:cs="Arial"/>
          <w:i/>
          <w:iCs/>
          <w:color w:val="000000" w:themeColor="text1"/>
        </w:rPr>
        <w:t>Aircraft</w:t>
      </w:r>
      <w:r w:rsidRPr="00191639">
        <w:rPr>
          <w:rFonts w:ascii="Arial" w:hAnsi="Arial" w:cs="Arial"/>
          <w:color w:val="000000" w:themeColor="text1"/>
        </w:rPr>
        <w:t>, para. 7.1377.</w:t>
      </w:r>
    </w:p>
  </w:footnote>
  <w:footnote w:id="60">
    <w:p w14:paraId="53BB0CDC" w14:textId="77777777" w:rsidR="0081799D" w:rsidRPr="00191639" w:rsidRDefault="0081799D" w:rsidP="0081799D">
      <w:pPr>
        <w:pStyle w:val="a6"/>
        <w:rPr>
          <w:rFonts w:ascii="Arial" w:hAnsi="Arial" w:cs="Arial"/>
        </w:rPr>
      </w:pPr>
      <w:r w:rsidRPr="00191639">
        <w:rPr>
          <w:rStyle w:val="ab"/>
          <w:rFonts w:ascii="Arial" w:hAnsi="Arial" w:cs="Arial"/>
        </w:rPr>
        <w:footnoteRef/>
      </w:r>
      <w:r w:rsidRPr="00191639">
        <w:rPr>
          <w:rFonts w:ascii="Arial" w:hAnsi="Arial" w:cs="Arial"/>
        </w:rPr>
        <w:t>.</w:t>
      </w:r>
      <w:r w:rsidRPr="00191639">
        <w:rPr>
          <w:rFonts w:ascii="Arial" w:hAnsi="Arial" w:cs="Arial"/>
        </w:rPr>
        <w:tab/>
        <w:t xml:space="preserve">Appellate Body Report, </w:t>
      </w:r>
      <w:r w:rsidRPr="00191639">
        <w:rPr>
          <w:rFonts w:ascii="Arial" w:hAnsi="Arial" w:cs="Arial"/>
          <w:i/>
          <w:iCs/>
        </w:rPr>
        <w:t>US – Countervailing Measures (China)</w:t>
      </w:r>
      <w:r w:rsidRPr="00191639">
        <w:rPr>
          <w:rFonts w:ascii="Arial" w:hAnsi="Arial" w:cs="Arial"/>
        </w:rPr>
        <w:t>, footnote 635.</w:t>
      </w:r>
    </w:p>
  </w:footnote>
  <w:footnote w:id="61">
    <w:p w14:paraId="49E93D1F" w14:textId="77777777" w:rsidR="0081799D" w:rsidRPr="00191639" w:rsidRDefault="0081799D" w:rsidP="0081799D">
      <w:pPr>
        <w:pStyle w:val="a6"/>
        <w:rPr>
          <w:rFonts w:ascii="Arial" w:hAnsi="Arial" w:cs="Arial"/>
        </w:rPr>
      </w:pPr>
      <w:r w:rsidRPr="00191639">
        <w:rPr>
          <w:rStyle w:val="ab"/>
          <w:rFonts w:ascii="Arial" w:hAnsi="Arial" w:cs="Arial"/>
        </w:rPr>
        <w:footnoteRef/>
      </w:r>
      <w:r w:rsidRPr="00191639">
        <w:rPr>
          <w:rFonts w:ascii="Arial" w:hAnsi="Arial" w:cs="Arial"/>
        </w:rPr>
        <w:t>.</w:t>
      </w:r>
      <w:r w:rsidRPr="00191639">
        <w:rPr>
          <w:rFonts w:ascii="Arial" w:hAnsi="Arial" w:cs="Arial"/>
        </w:rPr>
        <w:tab/>
        <w:t xml:space="preserve">Panel Report, </w:t>
      </w:r>
      <w:r w:rsidRPr="00191639">
        <w:rPr>
          <w:rFonts w:ascii="Arial" w:hAnsi="Arial" w:cs="Arial"/>
          <w:i/>
          <w:iCs/>
        </w:rPr>
        <w:t>China – GOES</w:t>
      </w:r>
      <w:r w:rsidRPr="00191639">
        <w:rPr>
          <w:rFonts w:ascii="Arial" w:hAnsi="Arial" w:cs="Arial"/>
        </w:rPr>
        <w:t>, para. 7.136.</w:t>
      </w:r>
    </w:p>
  </w:footnote>
  <w:footnote w:id="62">
    <w:p w14:paraId="5CC11839" w14:textId="0791F8A6" w:rsidR="00637B9E" w:rsidRPr="00637B9E" w:rsidRDefault="00637B9E">
      <w:pPr>
        <w:pStyle w:val="a6"/>
        <w:rPr>
          <w:rFonts w:eastAsiaTheme="minorEastAsia"/>
          <w:lang w:eastAsia="zh-CN"/>
        </w:rPr>
      </w:pPr>
      <w:r>
        <w:rPr>
          <w:rStyle w:val="ab"/>
        </w:rPr>
        <w:footnoteRef/>
      </w:r>
      <w:r>
        <w:t xml:space="preserve"> </w:t>
      </w:r>
      <w:r>
        <w:rPr>
          <w:rFonts w:eastAsiaTheme="minorEastAsia"/>
          <w:lang w:eastAsia="zh-CN"/>
        </w:rPr>
        <w:tab/>
      </w:r>
      <w:r>
        <w:rPr>
          <w:rFonts w:eastAsiaTheme="minorEastAsia" w:hint="eastAsia"/>
          <w:lang w:eastAsia="zh-CN"/>
        </w:rPr>
        <w:t>Application, F.2.001, page 65</w:t>
      </w:r>
    </w:p>
  </w:footnote>
  <w:footnote w:id="63">
    <w:p w14:paraId="40C2CD48" w14:textId="77777777" w:rsidR="00EE04E3" w:rsidRPr="00191639" w:rsidRDefault="00EE04E3" w:rsidP="00EE04E3">
      <w:pPr>
        <w:pStyle w:val="a6"/>
        <w:rPr>
          <w:rFonts w:ascii="Arial" w:hAnsi="Arial" w:cs="Arial"/>
        </w:rPr>
      </w:pPr>
      <w:r w:rsidRPr="00191639">
        <w:rPr>
          <w:rStyle w:val="ab"/>
          <w:rFonts w:ascii="Arial" w:hAnsi="Arial" w:cs="Arial"/>
        </w:rPr>
        <w:footnoteRef/>
      </w:r>
      <w:r w:rsidRPr="00191639">
        <w:rPr>
          <w:rFonts w:ascii="Arial" w:hAnsi="Arial" w:cs="Arial"/>
        </w:rPr>
        <w:t>.</w:t>
      </w:r>
      <w:r w:rsidRPr="00191639">
        <w:rPr>
          <w:rFonts w:ascii="Arial" w:hAnsi="Arial" w:cs="Arial"/>
        </w:rPr>
        <w:tab/>
        <w:t xml:space="preserve">Appellate Body Report, </w:t>
      </w:r>
      <w:r w:rsidRPr="00191639">
        <w:rPr>
          <w:rFonts w:ascii="Arial" w:hAnsi="Arial" w:cs="Arial"/>
          <w:i/>
        </w:rPr>
        <w:t>US – Anti-Dumping and Countervailing Duties (China)</w:t>
      </w:r>
      <w:r w:rsidRPr="00191639">
        <w:rPr>
          <w:rFonts w:ascii="Arial" w:hAnsi="Arial" w:cs="Arial"/>
        </w:rPr>
        <w:t>, para. 317.</w:t>
      </w:r>
    </w:p>
  </w:footnote>
  <w:footnote w:id="64">
    <w:p w14:paraId="0C4A1236" w14:textId="77777777" w:rsidR="00EE04E3" w:rsidRPr="00191639" w:rsidRDefault="00EE04E3" w:rsidP="00EE04E3">
      <w:pPr>
        <w:pStyle w:val="a6"/>
        <w:rPr>
          <w:rFonts w:ascii="Arial" w:hAnsi="Arial" w:cs="Arial"/>
        </w:rPr>
      </w:pPr>
      <w:r w:rsidRPr="00191639">
        <w:rPr>
          <w:rStyle w:val="ab"/>
          <w:rFonts w:ascii="Arial" w:hAnsi="Arial" w:cs="Arial"/>
        </w:rPr>
        <w:footnoteRef/>
      </w:r>
      <w:r w:rsidRPr="00191639">
        <w:rPr>
          <w:rFonts w:ascii="Arial" w:hAnsi="Arial" w:cs="Arial"/>
        </w:rPr>
        <w:t>.</w:t>
      </w:r>
      <w:r w:rsidRPr="00191639">
        <w:rPr>
          <w:rFonts w:ascii="Arial" w:hAnsi="Arial" w:cs="Arial"/>
        </w:rPr>
        <w:tab/>
        <w:t xml:space="preserve">Appellate Body Report, </w:t>
      </w:r>
      <w:r w:rsidRPr="00191639">
        <w:rPr>
          <w:rFonts w:ascii="Arial" w:hAnsi="Arial" w:cs="Arial"/>
          <w:i/>
        </w:rPr>
        <w:t>US – Carbon Steel (India)</w:t>
      </w:r>
      <w:r w:rsidRPr="00191639">
        <w:rPr>
          <w:rFonts w:ascii="Arial" w:hAnsi="Arial" w:cs="Arial"/>
        </w:rPr>
        <w:t>, para. 4.37.</w:t>
      </w:r>
    </w:p>
  </w:footnote>
  <w:footnote w:id="65">
    <w:p w14:paraId="10A946EF" w14:textId="77777777" w:rsidR="00EE04E3" w:rsidRPr="00191639" w:rsidRDefault="00EE04E3" w:rsidP="00EE04E3">
      <w:pPr>
        <w:pStyle w:val="a6"/>
        <w:rPr>
          <w:rFonts w:ascii="Arial" w:hAnsi="Arial" w:cs="Arial"/>
        </w:rPr>
      </w:pPr>
      <w:r w:rsidRPr="00191639">
        <w:rPr>
          <w:rStyle w:val="ab"/>
          <w:rFonts w:ascii="Arial" w:hAnsi="Arial" w:cs="Arial"/>
        </w:rPr>
        <w:footnoteRef/>
      </w:r>
      <w:r w:rsidRPr="00191639">
        <w:rPr>
          <w:rFonts w:ascii="Arial" w:hAnsi="Arial" w:cs="Arial"/>
        </w:rPr>
        <w:t>.</w:t>
      </w:r>
      <w:r w:rsidRPr="00191639">
        <w:rPr>
          <w:rFonts w:ascii="Arial" w:hAnsi="Arial" w:cs="Arial"/>
        </w:rPr>
        <w:tab/>
      </w:r>
      <w:r w:rsidRPr="00191639">
        <w:rPr>
          <w:rFonts w:ascii="Arial" w:eastAsia="Times New Roman" w:hAnsi="Arial" w:cs="Arial"/>
        </w:rPr>
        <w:t xml:space="preserve">Appellate Body in </w:t>
      </w:r>
      <w:r w:rsidRPr="00191639">
        <w:rPr>
          <w:rFonts w:ascii="Arial" w:eastAsia="Times New Roman" w:hAnsi="Arial" w:cs="Arial"/>
          <w:i/>
        </w:rPr>
        <w:t xml:space="preserve">US </w:t>
      </w:r>
      <w:r w:rsidRPr="00191639">
        <w:rPr>
          <w:rFonts w:ascii="Arial" w:hAnsi="Arial" w:cs="Arial"/>
          <w:i/>
        </w:rPr>
        <w:t>– Countervailing Measures</w:t>
      </w:r>
      <w:r w:rsidRPr="00191639">
        <w:rPr>
          <w:rFonts w:ascii="Arial" w:eastAsia="Times New Roman" w:hAnsi="Arial" w:cs="Arial"/>
          <w:i/>
        </w:rPr>
        <w:t xml:space="preserve"> (China) (Article 21.5)</w:t>
      </w:r>
      <w:r w:rsidRPr="00191639">
        <w:rPr>
          <w:rFonts w:ascii="Arial" w:hAnsi="Arial" w:cs="Arial"/>
        </w:rPr>
        <w:t>, para</w:t>
      </w:r>
      <w:r>
        <w:rPr>
          <w:rFonts w:ascii="Arial" w:hAnsi="Arial" w:cs="Arial"/>
        </w:rPr>
        <w:t>s</w:t>
      </w:r>
      <w:r w:rsidRPr="00191639">
        <w:rPr>
          <w:rFonts w:ascii="Arial" w:hAnsi="Arial" w:cs="Arial"/>
        </w:rPr>
        <w:t xml:space="preserve">. </w:t>
      </w:r>
      <w:r>
        <w:rPr>
          <w:rFonts w:ascii="Arial" w:hAnsi="Arial" w:cs="Arial"/>
        </w:rPr>
        <w:t>5.96-</w:t>
      </w:r>
      <w:r w:rsidRPr="00191639">
        <w:rPr>
          <w:rFonts w:ascii="Arial" w:hAnsi="Arial" w:cs="Arial"/>
        </w:rPr>
        <w:t>5.9</w:t>
      </w:r>
      <w:r>
        <w:rPr>
          <w:rFonts w:ascii="Arial" w:hAnsi="Arial" w:cs="Arial"/>
        </w:rPr>
        <w:t>7.</w:t>
      </w:r>
    </w:p>
  </w:footnote>
  <w:footnote w:id="66">
    <w:p w14:paraId="491303D5" w14:textId="77777777" w:rsidR="00EE04E3" w:rsidRPr="00191639" w:rsidRDefault="00EE04E3" w:rsidP="00EE04E3">
      <w:pPr>
        <w:pStyle w:val="a6"/>
        <w:rPr>
          <w:rFonts w:ascii="Arial" w:hAnsi="Arial" w:cs="Arial"/>
        </w:rPr>
      </w:pPr>
      <w:r w:rsidRPr="00191639">
        <w:rPr>
          <w:rStyle w:val="ab"/>
          <w:rFonts w:ascii="Arial" w:hAnsi="Arial" w:cs="Arial"/>
        </w:rPr>
        <w:footnoteRef/>
      </w:r>
      <w:r w:rsidRPr="00191639">
        <w:rPr>
          <w:rFonts w:ascii="Arial" w:hAnsi="Arial" w:cs="Arial"/>
        </w:rPr>
        <w:t>.</w:t>
      </w:r>
      <w:r w:rsidRPr="00191639">
        <w:rPr>
          <w:rFonts w:ascii="Arial" w:hAnsi="Arial" w:cs="Arial"/>
        </w:rPr>
        <w:tab/>
        <w:t xml:space="preserve">Appellate Body Report, </w:t>
      </w:r>
      <w:r w:rsidRPr="00191639">
        <w:rPr>
          <w:rFonts w:ascii="Arial" w:hAnsi="Arial" w:cs="Arial"/>
          <w:i/>
        </w:rPr>
        <w:t>US – Carbon Steel (India)</w:t>
      </w:r>
      <w:r w:rsidRPr="00191639">
        <w:rPr>
          <w:rFonts w:ascii="Arial" w:hAnsi="Arial" w:cs="Arial"/>
        </w:rPr>
        <w:t>, para. 4.36.</w:t>
      </w:r>
    </w:p>
  </w:footnote>
  <w:footnote w:id="67">
    <w:p w14:paraId="7986E761" w14:textId="77777777" w:rsidR="00EE04E3" w:rsidRPr="00191639" w:rsidRDefault="00EE04E3" w:rsidP="00EE04E3">
      <w:pPr>
        <w:pStyle w:val="a6"/>
        <w:rPr>
          <w:rFonts w:ascii="Arial" w:hAnsi="Arial" w:cs="Arial"/>
        </w:rPr>
      </w:pPr>
      <w:r w:rsidRPr="00191639">
        <w:rPr>
          <w:rStyle w:val="ab"/>
          <w:rFonts w:ascii="Arial" w:hAnsi="Arial" w:cs="Arial"/>
        </w:rPr>
        <w:footnoteRef/>
      </w:r>
      <w:r w:rsidRPr="00191639">
        <w:rPr>
          <w:rFonts w:ascii="Arial" w:hAnsi="Arial" w:cs="Arial"/>
        </w:rPr>
        <w:t>.</w:t>
      </w:r>
      <w:r w:rsidRPr="00191639">
        <w:rPr>
          <w:rFonts w:ascii="Arial" w:hAnsi="Arial" w:cs="Arial"/>
        </w:rPr>
        <w:tab/>
      </w:r>
      <w:r w:rsidRPr="00191639">
        <w:rPr>
          <w:rFonts w:ascii="Arial" w:hAnsi="Arial" w:cs="Arial"/>
          <w:i/>
          <w:iCs/>
        </w:rPr>
        <w:t>Ibid</w:t>
      </w:r>
      <w:r w:rsidRPr="00191639">
        <w:rPr>
          <w:rFonts w:ascii="Arial" w:hAnsi="Arial" w:cs="Arial"/>
        </w:rPr>
        <w:t>., para. 4.43.</w:t>
      </w:r>
    </w:p>
  </w:footnote>
  <w:footnote w:id="68">
    <w:p w14:paraId="1F70D6C7" w14:textId="77777777" w:rsidR="00EE04E3" w:rsidRPr="00191639" w:rsidRDefault="00EE04E3" w:rsidP="00EE04E3">
      <w:pPr>
        <w:pStyle w:val="a6"/>
        <w:rPr>
          <w:rFonts w:ascii="Arial" w:hAnsi="Arial" w:cs="Arial"/>
        </w:rPr>
      </w:pPr>
      <w:r w:rsidRPr="00191639">
        <w:rPr>
          <w:rStyle w:val="ab"/>
          <w:rFonts w:ascii="Arial" w:hAnsi="Arial" w:cs="Arial"/>
        </w:rPr>
        <w:footnoteRef/>
      </w:r>
      <w:r w:rsidRPr="00191639">
        <w:rPr>
          <w:rFonts w:ascii="Arial" w:hAnsi="Arial" w:cs="Arial"/>
        </w:rPr>
        <w:t xml:space="preserve"> .</w:t>
      </w:r>
      <w:r w:rsidRPr="00191639">
        <w:rPr>
          <w:rFonts w:ascii="Arial" w:hAnsi="Arial" w:cs="Arial"/>
        </w:rPr>
        <w:tab/>
        <w:t xml:space="preserve">Appellate Body Report, </w:t>
      </w:r>
      <w:r w:rsidRPr="00191639">
        <w:rPr>
          <w:rFonts w:ascii="Arial" w:hAnsi="Arial" w:cs="Arial"/>
          <w:i/>
          <w:iCs/>
        </w:rPr>
        <w:t>US – Anti-Dumping and Countervailing Duties (China)</w:t>
      </w:r>
      <w:r w:rsidRPr="00191639">
        <w:rPr>
          <w:rFonts w:ascii="Arial" w:hAnsi="Arial" w:cs="Arial"/>
        </w:rPr>
        <w:t>, para. 319.</w:t>
      </w:r>
    </w:p>
  </w:footnote>
  <w:footnote w:id="69">
    <w:p w14:paraId="349E328A" w14:textId="77777777" w:rsidR="008260C7" w:rsidRPr="00191639" w:rsidRDefault="008260C7" w:rsidP="008260C7">
      <w:pPr>
        <w:pStyle w:val="a6"/>
        <w:rPr>
          <w:rFonts w:ascii="Arial" w:hAnsi="Arial" w:cs="Arial"/>
        </w:rPr>
      </w:pPr>
      <w:r w:rsidRPr="00191639">
        <w:rPr>
          <w:rStyle w:val="ab"/>
          <w:rFonts w:ascii="Arial" w:hAnsi="Arial" w:cs="Arial"/>
        </w:rPr>
        <w:footnoteRef/>
      </w:r>
      <w:r w:rsidRPr="00191639">
        <w:rPr>
          <w:rFonts w:ascii="Arial" w:hAnsi="Arial" w:cs="Arial"/>
        </w:rPr>
        <w:t>.</w:t>
      </w:r>
      <w:r w:rsidRPr="00191639">
        <w:rPr>
          <w:rFonts w:ascii="Arial" w:hAnsi="Arial" w:cs="Arial"/>
        </w:rPr>
        <w:tab/>
      </w:r>
      <w:r w:rsidRPr="00191639">
        <w:rPr>
          <w:rFonts w:ascii="Arial" w:hAnsi="Arial" w:cs="Arial"/>
          <w:i/>
          <w:iCs/>
        </w:rPr>
        <w:t>Ibid</w:t>
      </w:r>
      <w:r w:rsidRPr="00191639">
        <w:rPr>
          <w:rFonts w:ascii="Arial" w:hAnsi="Arial" w:cs="Arial"/>
        </w:rPr>
        <w:t>., para. 7.56.</w:t>
      </w:r>
    </w:p>
  </w:footnote>
  <w:footnote w:id="70">
    <w:p w14:paraId="16F5AD39" w14:textId="77777777" w:rsidR="00226C57" w:rsidRPr="00191639" w:rsidRDefault="00226C57" w:rsidP="00226C57">
      <w:pPr>
        <w:pStyle w:val="a6"/>
        <w:rPr>
          <w:rFonts w:ascii="Arial" w:hAnsi="Arial" w:cs="Arial"/>
          <w:iCs/>
        </w:rPr>
      </w:pPr>
      <w:r w:rsidRPr="00191639">
        <w:rPr>
          <w:rStyle w:val="ab"/>
          <w:rFonts w:ascii="Arial" w:hAnsi="Arial" w:cs="Arial"/>
        </w:rPr>
        <w:footnoteRef/>
      </w:r>
      <w:r w:rsidRPr="00191639">
        <w:rPr>
          <w:rFonts w:ascii="Arial" w:hAnsi="Arial" w:cs="Arial"/>
        </w:rPr>
        <w:t>.</w:t>
      </w:r>
      <w:r w:rsidRPr="00191639">
        <w:rPr>
          <w:rFonts w:ascii="Arial" w:hAnsi="Arial" w:cs="Arial"/>
        </w:rPr>
        <w:tab/>
        <w:t xml:space="preserve">Appellate Body Report, </w:t>
      </w:r>
      <w:r w:rsidRPr="00191639">
        <w:rPr>
          <w:rFonts w:ascii="Arial" w:eastAsia="Times New Roman" w:hAnsi="Arial" w:cs="Arial"/>
          <w:i/>
        </w:rPr>
        <w:t xml:space="preserve">US </w:t>
      </w:r>
      <w:r w:rsidRPr="00191639">
        <w:rPr>
          <w:rFonts w:ascii="Arial" w:hAnsi="Arial" w:cs="Arial"/>
          <w:i/>
          <w:iCs/>
          <w:color w:val="000000"/>
        </w:rPr>
        <w:t>–</w:t>
      </w:r>
      <w:r w:rsidRPr="00191639">
        <w:rPr>
          <w:rFonts w:ascii="Arial" w:eastAsia="Times New Roman" w:hAnsi="Arial" w:cs="Arial"/>
          <w:i/>
        </w:rPr>
        <w:t xml:space="preserve"> Countervailing Measures (China)</w:t>
      </w:r>
      <w:r w:rsidRPr="00191639">
        <w:rPr>
          <w:rFonts w:ascii="Arial" w:eastAsia="Times New Roman" w:hAnsi="Arial" w:cs="Arial"/>
          <w:iCs/>
        </w:rPr>
        <w:t>, para. 4.129.</w:t>
      </w:r>
    </w:p>
  </w:footnote>
  <w:footnote w:id="71">
    <w:p w14:paraId="22F57D54" w14:textId="697C20AF" w:rsidR="00EE01FE" w:rsidRPr="00EE01FE" w:rsidRDefault="00EE01FE">
      <w:pPr>
        <w:pStyle w:val="a6"/>
        <w:rPr>
          <w:rFonts w:eastAsiaTheme="minorEastAsia"/>
          <w:lang w:eastAsia="zh-CN"/>
        </w:rPr>
      </w:pPr>
      <w:r>
        <w:rPr>
          <w:rStyle w:val="ab"/>
        </w:rPr>
        <w:footnoteRef/>
      </w:r>
      <w:r>
        <w:t xml:space="preserve"> </w:t>
      </w:r>
      <w:r>
        <w:rPr>
          <w:rFonts w:eastAsiaTheme="minorEastAsia"/>
          <w:lang w:eastAsia="zh-CN"/>
        </w:rPr>
        <w:tab/>
      </w:r>
      <w:r>
        <w:t xml:space="preserve">Panel Report, </w:t>
      </w:r>
      <w:r>
        <w:rPr>
          <w:i/>
        </w:rPr>
        <w:t>China – GOES</w:t>
      </w:r>
      <w:r>
        <w:t>, para. 7.107.</w:t>
      </w:r>
    </w:p>
  </w:footnote>
  <w:footnote w:id="72">
    <w:p w14:paraId="3398C375" w14:textId="44ADCB71" w:rsidR="00EE01FE" w:rsidRPr="00EE01FE" w:rsidRDefault="00EE01FE">
      <w:pPr>
        <w:pStyle w:val="a6"/>
        <w:rPr>
          <w:rFonts w:eastAsiaTheme="minorEastAsia"/>
          <w:lang w:eastAsia="zh-CN"/>
        </w:rPr>
      </w:pPr>
      <w:r>
        <w:rPr>
          <w:rStyle w:val="ab"/>
        </w:rPr>
        <w:footnoteRef/>
      </w:r>
      <w:r>
        <w:t xml:space="preserve"> </w:t>
      </w:r>
      <w:r>
        <w:rPr>
          <w:rFonts w:eastAsiaTheme="minorEastAsia"/>
          <w:lang w:eastAsia="zh-CN"/>
        </w:rPr>
        <w:tab/>
      </w:r>
      <w:r>
        <w:t xml:space="preserve">Appellate Body Report, </w:t>
      </w:r>
      <w:r>
        <w:rPr>
          <w:i/>
        </w:rPr>
        <w:t>US – Countervailing Measures (China)</w:t>
      </w:r>
      <w:r>
        <w:t>, para. 4.165.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4D8FB" w14:textId="61BA2C63" w:rsidR="00654BDE" w:rsidRPr="00654BDE" w:rsidRDefault="00654BDE" w:rsidP="00654BDE">
    <w:pPr>
      <w:pStyle w:val="ad"/>
      <w:jc w:val="right"/>
      <w:rPr>
        <w:rFonts w:ascii="Arial" w:hAnsi="Arial" w:cs="Arial"/>
        <w:i/>
        <w:iCs/>
        <w:sz w:val="20"/>
        <w:szCs w:val="20"/>
      </w:rPr>
    </w:pPr>
    <w:r w:rsidRPr="00654BDE">
      <w:rPr>
        <w:rFonts w:ascii="Arial" w:hAnsi="Arial" w:cs="Arial"/>
        <w:i/>
        <w:iCs/>
        <w:sz w:val="20"/>
        <w:szCs w:val="20"/>
      </w:rPr>
      <w:t>OPEN</w:t>
    </w:r>
  </w:p>
  <w:p w14:paraId="3E6D807F" w14:textId="77777777" w:rsidR="00EE24AD" w:rsidRDefault="00EE24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1A74CC"/>
    <w:lvl w:ilvl="0">
      <w:start w:val="1"/>
      <w:numFmt w:val="bullet"/>
      <w:pStyle w:val="a"/>
      <w:lvlText w:val=""/>
      <w:lvlJc w:val="left"/>
      <w:pPr>
        <w:ind w:left="720" w:hanging="720"/>
      </w:pPr>
      <w:rPr>
        <w:rFonts w:ascii="Symbol" w:hAnsi="Symbol" w:hint="default"/>
        <w:color w:val="auto"/>
      </w:rPr>
    </w:lvl>
  </w:abstractNum>
  <w:abstractNum w:abstractNumId="1" w15:restartNumberingAfterBreak="0">
    <w:nsid w:val="00000402"/>
    <w:multiLevelType w:val="multilevel"/>
    <w:tmpl w:val="00000402"/>
    <w:lvl w:ilvl="0">
      <w:numFmt w:val="bullet"/>
      <w:lvlText w:val=""/>
      <w:lvlJc w:val="left"/>
      <w:pPr>
        <w:ind w:left="4562" w:hanging="284"/>
      </w:pPr>
      <w:rPr>
        <w:rFonts w:ascii="Symbol" w:hAnsi="Symbol"/>
        <w:b w:val="0"/>
        <w:w w:val="100"/>
        <w:sz w:val="22"/>
      </w:rPr>
    </w:lvl>
    <w:lvl w:ilvl="1">
      <w:numFmt w:val="bullet"/>
      <w:lvlText w:val="•"/>
      <w:lvlJc w:val="left"/>
      <w:pPr>
        <w:ind w:left="4829" w:hanging="284"/>
      </w:pPr>
    </w:lvl>
    <w:lvl w:ilvl="2">
      <w:numFmt w:val="bullet"/>
      <w:lvlText w:val="•"/>
      <w:lvlJc w:val="left"/>
      <w:pPr>
        <w:ind w:left="5103" w:hanging="284"/>
      </w:pPr>
    </w:lvl>
    <w:lvl w:ilvl="3">
      <w:numFmt w:val="bullet"/>
      <w:lvlText w:val="•"/>
      <w:lvlJc w:val="left"/>
      <w:pPr>
        <w:ind w:left="5376" w:hanging="284"/>
      </w:pPr>
    </w:lvl>
    <w:lvl w:ilvl="4">
      <w:numFmt w:val="bullet"/>
      <w:lvlText w:val="•"/>
      <w:lvlJc w:val="left"/>
      <w:pPr>
        <w:ind w:left="5650" w:hanging="284"/>
      </w:pPr>
    </w:lvl>
    <w:lvl w:ilvl="5">
      <w:numFmt w:val="bullet"/>
      <w:lvlText w:val="•"/>
      <w:lvlJc w:val="left"/>
      <w:pPr>
        <w:ind w:left="5923" w:hanging="284"/>
      </w:pPr>
    </w:lvl>
    <w:lvl w:ilvl="6">
      <w:numFmt w:val="bullet"/>
      <w:lvlText w:val="•"/>
      <w:lvlJc w:val="left"/>
      <w:pPr>
        <w:ind w:left="6197" w:hanging="284"/>
      </w:pPr>
    </w:lvl>
    <w:lvl w:ilvl="7">
      <w:numFmt w:val="bullet"/>
      <w:lvlText w:val="•"/>
      <w:lvlJc w:val="left"/>
      <w:pPr>
        <w:ind w:left="6470" w:hanging="284"/>
      </w:pPr>
    </w:lvl>
    <w:lvl w:ilvl="8">
      <w:numFmt w:val="bullet"/>
      <w:lvlText w:val="•"/>
      <w:lvlJc w:val="left"/>
      <w:pPr>
        <w:ind w:left="6744" w:hanging="284"/>
      </w:pPr>
    </w:lvl>
  </w:abstractNum>
  <w:abstractNum w:abstractNumId="2" w15:restartNumberingAfterBreak="0">
    <w:nsid w:val="0000040F"/>
    <w:multiLevelType w:val="multilevel"/>
    <w:tmpl w:val="0000040F"/>
    <w:lvl w:ilvl="0">
      <w:start w:val="1"/>
      <w:numFmt w:val="decimal"/>
      <w:lvlText w:val="(%1)"/>
      <w:lvlJc w:val="left"/>
      <w:pPr>
        <w:ind w:left="1600" w:hanging="360"/>
      </w:pPr>
      <w:rPr>
        <w:rFonts w:ascii="Times New Roman" w:hAnsi="Times New Roman" w:cs="Times New Roman"/>
        <w:b w:val="0"/>
        <w:bCs w:val="0"/>
        <w:w w:val="99"/>
        <w:sz w:val="24"/>
        <w:szCs w:val="24"/>
      </w:rPr>
    </w:lvl>
    <w:lvl w:ilvl="1">
      <w:start w:val="1"/>
      <w:numFmt w:val="lowerRoman"/>
      <w:lvlText w:val="%2."/>
      <w:lvlJc w:val="left"/>
      <w:pPr>
        <w:ind w:left="2526" w:hanging="488"/>
      </w:pPr>
      <w:rPr>
        <w:rFonts w:ascii="Times New Roman" w:hAnsi="Times New Roman" w:cs="Times New Roman"/>
        <w:b w:val="0"/>
        <w:bCs w:val="0"/>
        <w:spacing w:val="-2"/>
        <w:w w:val="99"/>
        <w:sz w:val="24"/>
        <w:szCs w:val="24"/>
      </w:rPr>
    </w:lvl>
    <w:lvl w:ilvl="2">
      <w:numFmt w:val="bullet"/>
      <w:lvlText w:val="•"/>
      <w:lvlJc w:val="left"/>
      <w:pPr>
        <w:ind w:left="3460" w:hanging="488"/>
      </w:pPr>
    </w:lvl>
    <w:lvl w:ilvl="3">
      <w:numFmt w:val="bullet"/>
      <w:lvlText w:val="•"/>
      <w:lvlJc w:val="left"/>
      <w:pPr>
        <w:ind w:left="4401" w:hanging="488"/>
      </w:pPr>
    </w:lvl>
    <w:lvl w:ilvl="4">
      <w:numFmt w:val="bullet"/>
      <w:lvlText w:val="•"/>
      <w:lvlJc w:val="left"/>
      <w:pPr>
        <w:ind w:left="5342" w:hanging="488"/>
      </w:pPr>
    </w:lvl>
    <w:lvl w:ilvl="5">
      <w:numFmt w:val="bullet"/>
      <w:lvlText w:val="•"/>
      <w:lvlJc w:val="left"/>
      <w:pPr>
        <w:ind w:left="6282" w:hanging="488"/>
      </w:pPr>
    </w:lvl>
    <w:lvl w:ilvl="6">
      <w:numFmt w:val="bullet"/>
      <w:lvlText w:val="•"/>
      <w:lvlJc w:val="left"/>
      <w:pPr>
        <w:ind w:left="7223" w:hanging="488"/>
      </w:pPr>
    </w:lvl>
    <w:lvl w:ilvl="7">
      <w:numFmt w:val="bullet"/>
      <w:lvlText w:val="•"/>
      <w:lvlJc w:val="left"/>
      <w:pPr>
        <w:ind w:left="8164" w:hanging="488"/>
      </w:pPr>
    </w:lvl>
    <w:lvl w:ilvl="8">
      <w:numFmt w:val="bullet"/>
      <w:lvlText w:val="•"/>
      <w:lvlJc w:val="left"/>
      <w:pPr>
        <w:ind w:left="9104" w:hanging="488"/>
      </w:pPr>
    </w:lvl>
  </w:abstractNum>
  <w:abstractNum w:abstractNumId="3" w15:restartNumberingAfterBreak="0">
    <w:nsid w:val="01CD3E94"/>
    <w:multiLevelType w:val="multilevel"/>
    <w:tmpl w:val="D17293E4"/>
    <w:lvl w:ilvl="0">
      <w:start w:val="1"/>
      <w:numFmt w:val="decimal"/>
      <w:lvlText w:val="%1"/>
      <w:lvlJc w:val="left"/>
      <w:pPr>
        <w:ind w:left="1348" w:hanging="432"/>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492" w:hanging="576"/>
      </w:pPr>
      <w:rPr>
        <w:rFonts w:ascii="Times New Roman" w:eastAsia="Times New Roman" w:hAnsi="Times New Roman" w:cs="Times New Roman" w:hint="default"/>
        <w:b/>
        <w:bCs/>
        <w:w w:val="100"/>
        <w:sz w:val="24"/>
        <w:szCs w:val="24"/>
        <w:lang w:val="en-US" w:eastAsia="en-US" w:bidi="ar-SA"/>
      </w:rPr>
    </w:lvl>
    <w:lvl w:ilvl="2">
      <w:start w:val="1"/>
      <w:numFmt w:val="decimal"/>
      <w:lvlText w:val="%1.%2.%3"/>
      <w:lvlJc w:val="left"/>
      <w:pPr>
        <w:ind w:left="1636" w:hanging="720"/>
      </w:pPr>
      <w:rPr>
        <w:rFonts w:ascii="Times New Roman" w:eastAsia="Times New Roman" w:hAnsi="Times New Roman" w:cs="Times New Roman" w:hint="default"/>
        <w:w w:val="100"/>
        <w:sz w:val="24"/>
        <w:szCs w:val="24"/>
        <w:lang w:val="en-US" w:eastAsia="en-US" w:bidi="ar-SA"/>
      </w:rPr>
    </w:lvl>
    <w:lvl w:ilvl="3">
      <w:start w:val="1"/>
      <w:numFmt w:val="decimal"/>
      <w:lvlText w:val="%1.%2.%3.%4"/>
      <w:lvlJc w:val="left"/>
      <w:pPr>
        <w:ind w:left="2193" w:hanging="864"/>
      </w:pPr>
      <w:rPr>
        <w:rFonts w:ascii="Times New Roman" w:eastAsia="Times New Roman" w:hAnsi="Times New Roman" w:cs="Times New Roman" w:hint="default"/>
        <w:i/>
        <w:w w:val="100"/>
        <w:sz w:val="24"/>
        <w:szCs w:val="24"/>
        <w:lang w:val="en-US" w:eastAsia="en-US" w:bidi="ar-SA"/>
      </w:rPr>
    </w:lvl>
    <w:lvl w:ilvl="4">
      <w:numFmt w:val="bullet"/>
      <w:lvlText w:val="•"/>
      <w:lvlJc w:val="left"/>
      <w:pPr>
        <w:ind w:left="3515" w:hanging="864"/>
      </w:pPr>
      <w:rPr>
        <w:rFonts w:hint="default"/>
        <w:lang w:val="en-US" w:eastAsia="en-US" w:bidi="ar-SA"/>
      </w:rPr>
    </w:lvl>
    <w:lvl w:ilvl="5">
      <w:numFmt w:val="bullet"/>
      <w:lvlText w:val="•"/>
      <w:lvlJc w:val="left"/>
      <w:pPr>
        <w:ind w:left="4830" w:hanging="864"/>
      </w:pPr>
      <w:rPr>
        <w:rFonts w:hint="default"/>
        <w:lang w:val="en-US" w:eastAsia="en-US" w:bidi="ar-SA"/>
      </w:rPr>
    </w:lvl>
    <w:lvl w:ilvl="6">
      <w:numFmt w:val="bullet"/>
      <w:lvlText w:val="•"/>
      <w:lvlJc w:val="left"/>
      <w:pPr>
        <w:ind w:left="6145" w:hanging="864"/>
      </w:pPr>
      <w:rPr>
        <w:rFonts w:hint="default"/>
        <w:lang w:val="en-US" w:eastAsia="en-US" w:bidi="ar-SA"/>
      </w:rPr>
    </w:lvl>
    <w:lvl w:ilvl="7">
      <w:numFmt w:val="bullet"/>
      <w:lvlText w:val="•"/>
      <w:lvlJc w:val="left"/>
      <w:pPr>
        <w:ind w:left="7460" w:hanging="864"/>
      </w:pPr>
      <w:rPr>
        <w:rFonts w:hint="default"/>
        <w:lang w:val="en-US" w:eastAsia="en-US" w:bidi="ar-SA"/>
      </w:rPr>
    </w:lvl>
    <w:lvl w:ilvl="8">
      <w:numFmt w:val="bullet"/>
      <w:lvlText w:val="•"/>
      <w:lvlJc w:val="left"/>
      <w:pPr>
        <w:ind w:left="8776" w:hanging="864"/>
      </w:pPr>
      <w:rPr>
        <w:rFonts w:hint="default"/>
        <w:lang w:val="en-US" w:eastAsia="en-US" w:bidi="ar-SA"/>
      </w:rPr>
    </w:lvl>
  </w:abstractNum>
  <w:abstractNum w:abstractNumId="4" w15:restartNumberingAfterBreak="0">
    <w:nsid w:val="04FD1EFC"/>
    <w:multiLevelType w:val="hybridMultilevel"/>
    <w:tmpl w:val="4AE82E22"/>
    <w:lvl w:ilvl="0" w:tplc="31DE967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AC5FD1"/>
    <w:multiLevelType w:val="hybridMultilevel"/>
    <w:tmpl w:val="4C442380"/>
    <w:lvl w:ilvl="0" w:tplc="10000015">
      <w:start w:val="1"/>
      <w:numFmt w:val="upp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6" w15:restartNumberingAfterBreak="0">
    <w:nsid w:val="183A18B3"/>
    <w:multiLevelType w:val="hybridMultilevel"/>
    <w:tmpl w:val="4C969156"/>
    <w:lvl w:ilvl="0" w:tplc="B19428EC">
      <w:start w:val="4"/>
      <w:numFmt w:val="decimal"/>
      <w:lvlText w:val="%1."/>
      <w:lvlJc w:val="left"/>
      <w:pPr>
        <w:ind w:left="153" w:hanging="360"/>
      </w:pPr>
      <w:rPr>
        <w:rFonts w:hint="default"/>
      </w:rPr>
    </w:lvl>
    <w:lvl w:ilvl="1" w:tplc="04090019" w:tentative="1">
      <w:start w:val="1"/>
      <w:numFmt w:val="lowerLetter"/>
      <w:lvlText w:val="%2)"/>
      <w:lvlJc w:val="left"/>
      <w:pPr>
        <w:ind w:left="673" w:hanging="440"/>
      </w:pPr>
    </w:lvl>
    <w:lvl w:ilvl="2" w:tplc="0409001B" w:tentative="1">
      <w:start w:val="1"/>
      <w:numFmt w:val="lowerRoman"/>
      <w:lvlText w:val="%3."/>
      <w:lvlJc w:val="right"/>
      <w:pPr>
        <w:ind w:left="1113" w:hanging="440"/>
      </w:pPr>
    </w:lvl>
    <w:lvl w:ilvl="3" w:tplc="0409000F" w:tentative="1">
      <w:start w:val="1"/>
      <w:numFmt w:val="decimal"/>
      <w:lvlText w:val="%4."/>
      <w:lvlJc w:val="left"/>
      <w:pPr>
        <w:ind w:left="1553" w:hanging="440"/>
      </w:pPr>
    </w:lvl>
    <w:lvl w:ilvl="4" w:tplc="04090019" w:tentative="1">
      <w:start w:val="1"/>
      <w:numFmt w:val="lowerLetter"/>
      <w:lvlText w:val="%5)"/>
      <w:lvlJc w:val="left"/>
      <w:pPr>
        <w:ind w:left="1993" w:hanging="440"/>
      </w:pPr>
    </w:lvl>
    <w:lvl w:ilvl="5" w:tplc="0409001B" w:tentative="1">
      <w:start w:val="1"/>
      <w:numFmt w:val="lowerRoman"/>
      <w:lvlText w:val="%6."/>
      <w:lvlJc w:val="right"/>
      <w:pPr>
        <w:ind w:left="2433" w:hanging="440"/>
      </w:pPr>
    </w:lvl>
    <w:lvl w:ilvl="6" w:tplc="0409000F" w:tentative="1">
      <w:start w:val="1"/>
      <w:numFmt w:val="decimal"/>
      <w:lvlText w:val="%7."/>
      <w:lvlJc w:val="left"/>
      <w:pPr>
        <w:ind w:left="2873" w:hanging="440"/>
      </w:pPr>
    </w:lvl>
    <w:lvl w:ilvl="7" w:tplc="04090019" w:tentative="1">
      <w:start w:val="1"/>
      <w:numFmt w:val="lowerLetter"/>
      <w:lvlText w:val="%8)"/>
      <w:lvlJc w:val="left"/>
      <w:pPr>
        <w:ind w:left="3313" w:hanging="440"/>
      </w:pPr>
    </w:lvl>
    <w:lvl w:ilvl="8" w:tplc="0409001B" w:tentative="1">
      <w:start w:val="1"/>
      <w:numFmt w:val="lowerRoman"/>
      <w:lvlText w:val="%9."/>
      <w:lvlJc w:val="right"/>
      <w:pPr>
        <w:ind w:left="3753" w:hanging="440"/>
      </w:pPr>
    </w:lvl>
  </w:abstractNum>
  <w:abstractNum w:abstractNumId="7" w15:restartNumberingAfterBreak="0">
    <w:nsid w:val="19017B0A"/>
    <w:multiLevelType w:val="hybridMultilevel"/>
    <w:tmpl w:val="0096FB4A"/>
    <w:lvl w:ilvl="0" w:tplc="FEBAF128">
      <w:start w:val="85"/>
      <w:numFmt w:val="decimal"/>
      <w:lvlText w:val="%1."/>
      <w:lvlJc w:val="left"/>
      <w:pPr>
        <w:ind w:left="644" w:hanging="360"/>
      </w:pPr>
      <w:rPr>
        <w:rFonts w:ascii="Arial" w:hAnsi="Arial" w:cs="Arial"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A317EBC"/>
    <w:multiLevelType w:val="hybridMultilevel"/>
    <w:tmpl w:val="E7AAFB80"/>
    <w:lvl w:ilvl="0" w:tplc="FFFFFFFF">
      <w:start w:val="1"/>
      <w:numFmt w:val="decimal"/>
      <w:lvlText w:val="%1."/>
      <w:lvlJc w:val="left"/>
      <w:pPr>
        <w:ind w:left="916" w:hanging="692"/>
        <w:jc w:val="right"/>
      </w:pPr>
      <w:rPr>
        <w:rFonts w:ascii="Times New Roman" w:eastAsia="Times New Roman" w:hAnsi="Times New Roman" w:cs="Times New Roman" w:hint="default"/>
        <w:w w:val="100"/>
        <w:sz w:val="24"/>
        <w:szCs w:val="24"/>
        <w:lang w:val="en-US" w:eastAsia="en-US" w:bidi="ar-SA"/>
      </w:rPr>
    </w:lvl>
    <w:lvl w:ilvl="1" w:tplc="FFFFFFFF">
      <w:start w:val="1"/>
      <w:numFmt w:val="lowerRoman"/>
      <w:lvlText w:val="(%2)"/>
      <w:lvlJc w:val="left"/>
      <w:pPr>
        <w:ind w:left="1482" w:hanging="307"/>
      </w:pPr>
      <w:rPr>
        <w:rFonts w:hint="default"/>
        <w:i/>
        <w:w w:val="100"/>
        <w:lang w:val="en-US" w:eastAsia="en-US" w:bidi="ar-SA"/>
      </w:rPr>
    </w:lvl>
    <w:lvl w:ilvl="2" w:tplc="FFFFFFFF">
      <w:numFmt w:val="bullet"/>
      <w:lvlText w:val="•"/>
      <w:lvlJc w:val="left"/>
      <w:pPr>
        <w:ind w:left="1480" w:hanging="307"/>
      </w:pPr>
      <w:rPr>
        <w:rFonts w:hint="default"/>
        <w:lang w:val="en-US" w:eastAsia="en-US" w:bidi="ar-SA"/>
      </w:rPr>
    </w:lvl>
    <w:lvl w:ilvl="3" w:tplc="FFFFFFFF">
      <w:numFmt w:val="bullet"/>
      <w:lvlText w:val="•"/>
      <w:lvlJc w:val="left"/>
      <w:pPr>
        <w:ind w:left="1820" w:hanging="307"/>
      </w:pPr>
      <w:rPr>
        <w:rFonts w:hint="default"/>
        <w:lang w:val="en-US" w:eastAsia="en-US" w:bidi="ar-SA"/>
      </w:rPr>
    </w:lvl>
    <w:lvl w:ilvl="4" w:tplc="FFFFFFFF">
      <w:numFmt w:val="bullet"/>
      <w:lvlText w:val="•"/>
      <w:lvlJc w:val="left"/>
      <w:pPr>
        <w:ind w:left="2000" w:hanging="307"/>
      </w:pPr>
      <w:rPr>
        <w:rFonts w:hint="default"/>
        <w:lang w:val="en-US" w:eastAsia="en-US" w:bidi="ar-SA"/>
      </w:rPr>
    </w:lvl>
    <w:lvl w:ilvl="5" w:tplc="FFFFFFFF">
      <w:numFmt w:val="bullet"/>
      <w:lvlText w:val="•"/>
      <w:lvlJc w:val="left"/>
      <w:pPr>
        <w:ind w:left="3567" w:hanging="307"/>
      </w:pPr>
      <w:rPr>
        <w:rFonts w:hint="default"/>
        <w:lang w:val="en-US" w:eastAsia="en-US" w:bidi="ar-SA"/>
      </w:rPr>
    </w:lvl>
    <w:lvl w:ilvl="6" w:tplc="FFFFFFFF">
      <w:numFmt w:val="bullet"/>
      <w:lvlText w:val="•"/>
      <w:lvlJc w:val="left"/>
      <w:pPr>
        <w:ind w:left="5135" w:hanging="307"/>
      </w:pPr>
      <w:rPr>
        <w:rFonts w:hint="default"/>
        <w:lang w:val="en-US" w:eastAsia="en-US" w:bidi="ar-SA"/>
      </w:rPr>
    </w:lvl>
    <w:lvl w:ilvl="7" w:tplc="FFFFFFFF">
      <w:numFmt w:val="bullet"/>
      <w:lvlText w:val="•"/>
      <w:lvlJc w:val="left"/>
      <w:pPr>
        <w:ind w:left="6703" w:hanging="307"/>
      </w:pPr>
      <w:rPr>
        <w:rFonts w:hint="default"/>
        <w:lang w:val="en-US" w:eastAsia="en-US" w:bidi="ar-SA"/>
      </w:rPr>
    </w:lvl>
    <w:lvl w:ilvl="8" w:tplc="FFFFFFFF">
      <w:numFmt w:val="bullet"/>
      <w:lvlText w:val="•"/>
      <w:lvlJc w:val="left"/>
      <w:pPr>
        <w:ind w:left="8270" w:hanging="307"/>
      </w:pPr>
      <w:rPr>
        <w:rFonts w:hint="default"/>
        <w:lang w:val="en-US" w:eastAsia="en-US" w:bidi="ar-SA"/>
      </w:rPr>
    </w:lvl>
  </w:abstractNum>
  <w:abstractNum w:abstractNumId="9" w15:restartNumberingAfterBreak="0">
    <w:nsid w:val="1D475585"/>
    <w:multiLevelType w:val="hybridMultilevel"/>
    <w:tmpl w:val="6152E948"/>
    <w:lvl w:ilvl="0" w:tplc="C04CAAB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BB42B5"/>
    <w:multiLevelType w:val="hybridMultilevel"/>
    <w:tmpl w:val="C0D8CD7A"/>
    <w:lvl w:ilvl="0" w:tplc="0409001B">
      <w:start w:val="1"/>
      <w:numFmt w:val="lowerRoman"/>
      <w:lvlText w:val="%1."/>
      <w:lvlJc w:val="righ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FE67D52"/>
    <w:multiLevelType w:val="hybridMultilevel"/>
    <w:tmpl w:val="26C6CFD2"/>
    <w:lvl w:ilvl="0" w:tplc="56903A70">
      <w:start w:val="1"/>
      <w:numFmt w:val="decimal"/>
      <w:lvlText w:val="%1)"/>
      <w:lvlJc w:val="left"/>
      <w:pPr>
        <w:ind w:left="1842" w:hanging="360"/>
      </w:pPr>
      <w:rPr>
        <w:rFonts w:ascii="Times New Roman" w:eastAsia="Times New Roman" w:hAnsi="Times New Roman" w:cs="Times New Roman" w:hint="default"/>
        <w:i/>
        <w:w w:val="99"/>
        <w:sz w:val="24"/>
        <w:szCs w:val="24"/>
        <w:lang w:val="en-US" w:eastAsia="en-US" w:bidi="ar-SA"/>
      </w:rPr>
    </w:lvl>
    <w:lvl w:ilvl="1" w:tplc="2E4EE18A">
      <w:numFmt w:val="bullet"/>
      <w:lvlText w:val="•"/>
      <w:lvlJc w:val="left"/>
      <w:pPr>
        <w:ind w:left="2796" w:hanging="360"/>
      </w:pPr>
      <w:rPr>
        <w:rFonts w:hint="default"/>
        <w:lang w:val="en-US" w:eastAsia="en-US" w:bidi="ar-SA"/>
      </w:rPr>
    </w:lvl>
    <w:lvl w:ilvl="2" w:tplc="0A92BE1A">
      <w:numFmt w:val="bullet"/>
      <w:lvlText w:val="•"/>
      <w:lvlJc w:val="left"/>
      <w:pPr>
        <w:ind w:left="3753" w:hanging="360"/>
      </w:pPr>
      <w:rPr>
        <w:rFonts w:hint="default"/>
        <w:lang w:val="en-US" w:eastAsia="en-US" w:bidi="ar-SA"/>
      </w:rPr>
    </w:lvl>
    <w:lvl w:ilvl="3" w:tplc="5D7CF49C">
      <w:numFmt w:val="bullet"/>
      <w:lvlText w:val="•"/>
      <w:lvlJc w:val="left"/>
      <w:pPr>
        <w:ind w:left="4709" w:hanging="360"/>
      </w:pPr>
      <w:rPr>
        <w:rFonts w:hint="default"/>
        <w:lang w:val="en-US" w:eastAsia="en-US" w:bidi="ar-SA"/>
      </w:rPr>
    </w:lvl>
    <w:lvl w:ilvl="4" w:tplc="99446522">
      <w:numFmt w:val="bullet"/>
      <w:lvlText w:val="•"/>
      <w:lvlJc w:val="left"/>
      <w:pPr>
        <w:ind w:left="5666" w:hanging="360"/>
      </w:pPr>
      <w:rPr>
        <w:rFonts w:hint="default"/>
        <w:lang w:val="en-US" w:eastAsia="en-US" w:bidi="ar-SA"/>
      </w:rPr>
    </w:lvl>
    <w:lvl w:ilvl="5" w:tplc="358A740A">
      <w:numFmt w:val="bullet"/>
      <w:lvlText w:val="•"/>
      <w:lvlJc w:val="left"/>
      <w:pPr>
        <w:ind w:left="6623" w:hanging="360"/>
      </w:pPr>
      <w:rPr>
        <w:rFonts w:hint="default"/>
        <w:lang w:val="en-US" w:eastAsia="en-US" w:bidi="ar-SA"/>
      </w:rPr>
    </w:lvl>
    <w:lvl w:ilvl="6" w:tplc="1EBEA422">
      <w:numFmt w:val="bullet"/>
      <w:lvlText w:val="•"/>
      <w:lvlJc w:val="left"/>
      <w:pPr>
        <w:ind w:left="7579" w:hanging="360"/>
      </w:pPr>
      <w:rPr>
        <w:rFonts w:hint="default"/>
        <w:lang w:val="en-US" w:eastAsia="en-US" w:bidi="ar-SA"/>
      </w:rPr>
    </w:lvl>
    <w:lvl w:ilvl="7" w:tplc="506EE88E">
      <w:numFmt w:val="bullet"/>
      <w:lvlText w:val="•"/>
      <w:lvlJc w:val="left"/>
      <w:pPr>
        <w:ind w:left="8536" w:hanging="360"/>
      </w:pPr>
      <w:rPr>
        <w:rFonts w:hint="default"/>
        <w:lang w:val="en-US" w:eastAsia="en-US" w:bidi="ar-SA"/>
      </w:rPr>
    </w:lvl>
    <w:lvl w:ilvl="8" w:tplc="3B825898">
      <w:numFmt w:val="bullet"/>
      <w:lvlText w:val="•"/>
      <w:lvlJc w:val="left"/>
      <w:pPr>
        <w:ind w:left="9493" w:hanging="360"/>
      </w:pPr>
      <w:rPr>
        <w:rFonts w:hint="default"/>
        <w:lang w:val="en-US" w:eastAsia="en-US" w:bidi="ar-SA"/>
      </w:rPr>
    </w:lvl>
  </w:abstractNum>
  <w:abstractNum w:abstractNumId="12" w15:restartNumberingAfterBreak="0">
    <w:nsid w:val="1FF06C37"/>
    <w:multiLevelType w:val="hybridMultilevel"/>
    <w:tmpl w:val="028E786A"/>
    <w:lvl w:ilvl="0" w:tplc="FFFFFFFF">
      <w:start w:val="1"/>
      <w:numFmt w:val="decimal"/>
      <w:lvlText w:val="%1."/>
      <w:lvlJc w:val="left"/>
      <w:pPr>
        <w:ind w:left="644" w:hanging="360"/>
      </w:pPr>
      <w:rPr>
        <w:rFonts w:ascii="Arial" w:hAnsi="Arial" w:cs="Arial" w:hint="default"/>
        <w:b w:val="0"/>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CD17D28"/>
    <w:multiLevelType w:val="hybridMultilevel"/>
    <w:tmpl w:val="67D49B84"/>
    <w:lvl w:ilvl="0" w:tplc="FFFFFFFF">
      <w:start w:val="1"/>
      <w:numFmt w:val="decimal"/>
      <w:lvlText w:val="%1."/>
      <w:lvlJc w:val="left"/>
      <w:pPr>
        <w:ind w:left="644" w:hanging="360"/>
      </w:pPr>
      <w:rPr>
        <w:rFonts w:ascii="Arial" w:hAnsi="Arial" w:cs="Arial" w:hint="default"/>
        <w:b w:val="0"/>
        <w:i w:val="0"/>
        <w:lang w:val="en-U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33655C7"/>
    <w:multiLevelType w:val="hybridMultilevel"/>
    <w:tmpl w:val="7FF6A746"/>
    <w:lvl w:ilvl="0" w:tplc="BE986718">
      <w:start w:val="1"/>
      <w:numFmt w:val="decimal"/>
      <w:lvlText w:val="%1."/>
      <w:lvlJc w:val="left"/>
      <w:pPr>
        <w:ind w:left="644" w:hanging="360"/>
      </w:pPr>
      <w:rPr>
        <w:rFonts w:ascii="Arial" w:hAnsi="Arial" w:cs="Arial" w:hint="default"/>
        <w:b w:val="0"/>
        <w:i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8D5E16"/>
    <w:multiLevelType w:val="hybridMultilevel"/>
    <w:tmpl w:val="E7AAFB80"/>
    <w:lvl w:ilvl="0" w:tplc="FFFFFFFF">
      <w:start w:val="1"/>
      <w:numFmt w:val="decimal"/>
      <w:lvlText w:val="%1."/>
      <w:lvlJc w:val="left"/>
      <w:pPr>
        <w:ind w:left="916" w:hanging="692"/>
        <w:jc w:val="right"/>
      </w:pPr>
      <w:rPr>
        <w:rFonts w:ascii="Times New Roman" w:eastAsia="Times New Roman" w:hAnsi="Times New Roman" w:cs="Times New Roman" w:hint="default"/>
        <w:w w:val="100"/>
        <w:sz w:val="24"/>
        <w:szCs w:val="24"/>
        <w:lang w:val="en-US" w:eastAsia="en-US" w:bidi="ar-SA"/>
      </w:rPr>
    </w:lvl>
    <w:lvl w:ilvl="1" w:tplc="FFFFFFFF">
      <w:start w:val="1"/>
      <w:numFmt w:val="lowerRoman"/>
      <w:lvlText w:val="(%2)"/>
      <w:lvlJc w:val="left"/>
      <w:pPr>
        <w:ind w:left="1482" w:hanging="307"/>
      </w:pPr>
      <w:rPr>
        <w:rFonts w:hint="default"/>
        <w:i/>
        <w:w w:val="100"/>
        <w:lang w:val="en-US" w:eastAsia="en-US" w:bidi="ar-SA"/>
      </w:rPr>
    </w:lvl>
    <w:lvl w:ilvl="2" w:tplc="FFFFFFFF">
      <w:numFmt w:val="bullet"/>
      <w:lvlText w:val="•"/>
      <w:lvlJc w:val="left"/>
      <w:pPr>
        <w:ind w:left="1480" w:hanging="307"/>
      </w:pPr>
      <w:rPr>
        <w:rFonts w:hint="default"/>
        <w:lang w:val="en-US" w:eastAsia="en-US" w:bidi="ar-SA"/>
      </w:rPr>
    </w:lvl>
    <w:lvl w:ilvl="3" w:tplc="FFFFFFFF">
      <w:numFmt w:val="bullet"/>
      <w:lvlText w:val="•"/>
      <w:lvlJc w:val="left"/>
      <w:pPr>
        <w:ind w:left="1820" w:hanging="307"/>
      </w:pPr>
      <w:rPr>
        <w:rFonts w:hint="default"/>
        <w:lang w:val="en-US" w:eastAsia="en-US" w:bidi="ar-SA"/>
      </w:rPr>
    </w:lvl>
    <w:lvl w:ilvl="4" w:tplc="FFFFFFFF">
      <w:numFmt w:val="bullet"/>
      <w:lvlText w:val="•"/>
      <w:lvlJc w:val="left"/>
      <w:pPr>
        <w:ind w:left="2000" w:hanging="307"/>
      </w:pPr>
      <w:rPr>
        <w:rFonts w:hint="default"/>
        <w:lang w:val="en-US" w:eastAsia="en-US" w:bidi="ar-SA"/>
      </w:rPr>
    </w:lvl>
    <w:lvl w:ilvl="5" w:tplc="FFFFFFFF">
      <w:numFmt w:val="bullet"/>
      <w:lvlText w:val="•"/>
      <w:lvlJc w:val="left"/>
      <w:pPr>
        <w:ind w:left="3567" w:hanging="307"/>
      </w:pPr>
      <w:rPr>
        <w:rFonts w:hint="default"/>
        <w:lang w:val="en-US" w:eastAsia="en-US" w:bidi="ar-SA"/>
      </w:rPr>
    </w:lvl>
    <w:lvl w:ilvl="6" w:tplc="FFFFFFFF">
      <w:numFmt w:val="bullet"/>
      <w:lvlText w:val="•"/>
      <w:lvlJc w:val="left"/>
      <w:pPr>
        <w:ind w:left="5135" w:hanging="307"/>
      </w:pPr>
      <w:rPr>
        <w:rFonts w:hint="default"/>
        <w:lang w:val="en-US" w:eastAsia="en-US" w:bidi="ar-SA"/>
      </w:rPr>
    </w:lvl>
    <w:lvl w:ilvl="7" w:tplc="FFFFFFFF">
      <w:numFmt w:val="bullet"/>
      <w:lvlText w:val="•"/>
      <w:lvlJc w:val="left"/>
      <w:pPr>
        <w:ind w:left="6703" w:hanging="307"/>
      </w:pPr>
      <w:rPr>
        <w:rFonts w:hint="default"/>
        <w:lang w:val="en-US" w:eastAsia="en-US" w:bidi="ar-SA"/>
      </w:rPr>
    </w:lvl>
    <w:lvl w:ilvl="8" w:tplc="FFFFFFFF">
      <w:numFmt w:val="bullet"/>
      <w:lvlText w:val="•"/>
      <w:lvlJc w:val="left"/>
      <w:pPr>
        <w:ind w:left="8270" w:hanging="307"/>
      </w:pPr>
      <w:rPr>
        <w:rFonts w:hint="default"/>
        <w:lang w:val="en-US" w:eastAsia="en-US" w:bidi="ar-SA"/>
      </w:rPr>
    </w:lvl>
  </w:abstractNum>
  <w:abstractNum w:abstractNumId="16" w15:restartNumberingAfterBreak="0">
    <w:nsid w:val="365C2F4C"/>
    <w:multiLevelType w:val="hybridMultilevel"/>
    <w:tmpl w:val="34340750"/>
    <w:lvl w:ilvl="0" w:tplc="FFFFFFFF">
      <w:start w:val="1"/>
      <w:numFmt w:val="decimal"/>
      <w:lvlText w:val="%1."/>
      <w:lvlJc w:val="left"/>
      <w:pPr>
        <w:ind w:left="720" w:hanging="360"/>
      </w:pPr>
      <w:rPr>
        <w:rFonts w:ascii="Arial" w:hAnsi="Arial" w:cs="Arial" w:hint="default"/>
        <w:b w:val="0"/>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4397717"/>
    <w:multiLevelType w:val="hybridMultilevel"/>
    <w:tmpl w:val="0EA65EE6"/>
    <w:lvl w:ilvl="0" w:tplc="18DAD42A">
      <w:start w:val="89"/>
      <w:numFmt w:val="decimal"/>
      <w:lvlText w:val="%1."/>
      <w:lvlJc w:val="left"/>
      <w:pPr>
        <w:ind w:left="644" w:hanging="360"/>
      </w:pPr>
      <w:rPr>
        <w:rFonts w:ascii="Arial" w:hAnsi="Arial" w:cs="Arial"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8F10DC1"/>
    <w:multiLevelType w:val="hybridMultilevel"/>
    <w:tmpl w:val="11648136"/>
    <w:lvl w:ilvl="0" w:tplc="AF0025D0">
      <w:start w:val="1"/>
      <w:numFmt w:val="lowerRoman"/>
      <w:lvlText w:val="(%1)"/>
      <w:lvlJc w:val="left"/>
      <w:pPr>
        <w:ind w:left="2160" w:hanging="720"/>
      </w:pPr>
      <w:rPr>
        <w:rFonts w:hint="default"/>
      </w:r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19" w15:restartNumberingAfterBreak="0">
    <w:nsid w:val="4F111265"/>
    <w:multiLevelType w:val="hybridMultilevel"/>
    <w:tmpl w:val="FD9A8A18"/>
    <w:lvl w:ilvl="0" w:tplc="E54C34C0">
      <w:start w:val="1"/>
      <w:numFmt w:val="lowerRoman"/>
      <w:lvlText w:val="(%1)"/>
      <w:lvlJc w:val="left"/>
      <w:pPr>
        <w:ind w:left="1440" w:hanging="72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0" w15:restartNumberingAfterBreak="0">
    <w:nsid w:val="4FC86157"/>
    <w:multiLevelType w:val="multilevel"/>
    <w:tmpl w:val="49CEC4E0"/>
    <w:styleLink w:val="Outline"/>
    <w:lvl w:ilvl="0">
      <w:start w:val="1"/>
      <w:numFmt w:val="decimal"/>
      <w:pStyle w:val="HFWLevel1"/>
      <w:lvlText w:val="%1."/>
      <w:lvlJc w:val="left"/>
      <w:pPr>
        <w:ind w:left="720" w:hanging="720"/>
      </w:pPr>
      <w:rPr>
        <w:b w:val="0"/>
        <w:i w:val="0"/>
        <w:caps w:val="0"/>
        <w:smallCaps w:val="0"/>
        <w:strike w:val="0"/>
        <w:dstrike w:val="0"/>
        <w:vanish w:val="0"/>
        <w:position w:val="0"/>
        <w:u w:val="none"/>
        <w:vertAlign w:val="baseline"/>
      </w:rPr>
    </w:lvl>
    <w:lvl w:ilvl="1">
      <w:start w:val="1"/>
      <w:numFmt w:val="decimal"/>
      <w:pStyle w:val="HFWLevel2"/>
      <w:lvlText w:val="%1.%2"/>
      <w:lvlJc w:val="left"/>
      <w:pPr>
        <w:ind w:left="720" w:hanging="720"/>
      </w:pPr>
      <w:rPr>
        <w:b w:val="0"/>
        <w:i w:val="0"/>
        <w:caps w:val="0"/>
        <w:smallCaps w:val="0"/>
        <w:strike w:val="0"/>
        <w:dstrike w:val="0"/>
        <w:vanish w:val="0"/>
        <w:position w:val="0"/>
        <w:u w:val="none"/>
        <w:vertAlign w:val="baseline"/>
      </w:rPr>
    </w:lvl>
    <w:lvl w:ilvl="2">
      <w:start w:val="1"/>
      <w:numFmt w:val="lowerLetter"/>
      <w:pStyle w:val="HFWLevel3"/>
      <w:lvlText w:val="(%1.%2.%3)"/>
      <w:lvlJc w:val="left"/>
      <w:pPr>
        <w:ind w:left="1440" w:hanging="720"/>
      </w:pPr>
      <w:rPr>
        <w:b w:val="0"/>
        <w:i w:val="0"/>
        <w:caps w:val="0"/>
        <w:smallCaps w:val="0"/>
        <w:strike w:val="0"/>
        <w:dstrike w:val="0"/>
        <w:vanish w:val="0"/>
        <w:position w:val="0"/>
        <w:u w:val="none"/>
        <w:vertAlign w:val="baseline"/>
      </w:rPr>
    </w:lvl>
    <w:lvl w:ilvl="3">
      <w:start w:val="1"/>
      <w:numFmt w:val="lowerRoman"/>
      <w:pStyle w:val="HFWLevel4"/>
      <w:lvlText w:val="(%1.%2.%3.%4)"/>
      <w:lvlJc w:val="left"/>
      <w:pPr>
        <w:ind w:left="2160" w:hanging="720"/>
      </w:pPr>
      <w:rPr>
        <w:b w:val="0"/>
        <w:i w:val="0"/>
        <w:caps w:val="0"/>
        <w:smallCaps w:val="0"/>
        <w:strike w:val="0"/>
        <w:dstrike w:val="0"/>
        <w:vanish w:val="0"/>
        <w:position w:val="0"/>
        <w:u w:val="none"/>
        <w:vertAlign w:val="baseline"/>
      </w:rPr>
    </w:lvl>
    <w:lvl w:ilvl="4">
      <w:start w:val="1"/>
      <w:numFmt w:val="upperLetter"/>
      <w:pStyle w:val="HFWLevel5"/>
      <w:lvlText w:val="(%1.%2.%3.%4.%5)"/>
      <w:lvlJc w:val="left"/>
      <w:pPr>
        <w:ind w:left="2880" w:hanging="720"/>
      </w:pPr>
      <w:rPr>
        <w:b w:val="0"/>
        <w:i w:val="0"/>
        <w:caps w:val="0"/>
        <w:smallCaps w:val="0"/>
        <w:strike w:val="0"/>
        <w:dstrike w:val="0"/>
        <w:vanish w:val="0"/>
        <w:position w:val="0"/>
        <w:u w:val="none"/>
        <w:vertAlign w:val="baseline"/>
      </w:rPr>
    </w:lvl>
    <w:lvl w:ilvl="5">
      <w:start w:val="1"/>
      <w:numFmt w:val="upperRoman"/>
      <w:pStyle w:val="HFWLevel6"/>
      <w:lvlText w:val="(%1.%2.%3.%4.%5.%6)"/>
      <w:lvlJc w:val="left"/>
      <w:pPr>
        <w:ind w:left="3600" w:hanging="720"/>
      </w:pPr>
      <w:rPr>
        <w:b w:val="0"/>
        <w:i w:val="0"/>
        <w:caps w:val="0"/>
        <w:smallCaps w:val="0"/>
        <w:strike w:val="0"/>
        <w:dstrike w:val="0"/>
        <w:vanish w:val="0"/>
        <w:position w:val="0"/>
        <w:u w:val="none"/>
        <w:vertAlign w:val="baseline"/>
      </w:r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1" w15:restartNumberingAfterBreak="0">
    <w:nsid w:val="50A76038"/>
    <w:multiLevelType w:val="hybridMultilevel"/>
    <w:tmpl w:val="FAF2A330"/>
    <w:lvl w:ilvl="0" w:tplc="0413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571A3A54"/>
    <w:multiLevelType w:val="hybridMultilevel"/>
    <w:tmpl w:val="3BFA7480"/>
    <w:lvl w:ilvl="0" w:tplc="7854913C">
      <w:start w:val="1"/>
      <w:numFmt w:val="lowerRoman"/>
      <w:lvlText w:val="(%1)"/>
      <w:lvlJc w:val="left"/>
      <w:pPr>
        <w:ind w:left="1440" w:hanging="72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3" w15:restartNumberingAfterBreak="0">
    <w:nsid w:val="57937323"/>
    <w:multiLevelType w:val="hybridMultilevel"/>
    <w:tmpl w:val="1B249180"/>
    <w:lvl w:ilvl="0" w:tplc="A7B65E60">
      <w:start w:val="1"/>
      <w:numFmt w:val="upperLetter"/>
      <w:lvlText w:val="%1."/>
      <w:lvlJc w:val="left"/>
      <w:pPr>
        <w:ind w:left="1080" w:hanging="360"/>
      </w:pPr>
      <w:rPr>
        <w:rFonts w:hint="default"/>
      </w:rPr>
    </w:lvl>
    <w:lvl w:ilvl="1" w:tplc="10000019">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4" w15:restartNumberingAfterBreak="0">
    <w:nsid w:val="5A734422"/>
    <w:multiLevelType w:val="hybridMultilevel"/>
    <w:tmpl w:val="E7AAFB80"/>
    <w:lvl w:ilvl="0" w:tplc="1870F350">
      <w:start w:val="1"/>
      <w:numFmt w:val="decimal"/>
      <w:lvlText w:val="%1."/>
      <w:lvlJc w:val="left"/>
      <w:pPr>
        <w:ind w:left="916" w:hanging="692"/>
        <w:jc w:val="right"/>
      </w:pPr>
      <w:rPr>
        <w:rFonts w:ascii="Times New Roman" w:eastAsia="Times New Roman" w:hAnsi="Times New Roman" w:cs="Times New Roman" w:hint="default"/>
        <w:w w:val="100"/>
        <w:sz w:val="24"/>
        <w:szCs w:val="24"/>
        <w:lang w:val="en-US" w:eastAsia="en-US" w:bidi="ar-SA"/>
      </w:rPr>
    </w:lvl>
    <w:lvl w:ilvl="1" w:tplc="D56ADB5E">
      <w:start w:val="1"/>
      <w:numFmt w:val="lowerRoman"/>
      <w:lvlText w:val="(%2)"/>
      <w:lvlJc w:val="left"/>
      <w:pPr>
        <w:ind w:left="1482" w:hanging="307"/>
      </w:pPr>
      <w:rPr>
        <w:rFonts w:hint="default"/>
        <w:i/>
        <w:w w:val="100"/>
        <w:lang w:val="en-US" w:eastAsia="en-US" w:bidi="ar-SA"/>
      </w:rPr>
    </w:lvl>
    <w:lvl w:ilvl="2" w:tplc="47BAF728">
      <w:numFmt w:val="bullet"/>
      <w:lvlText w:val="•"/>
      <w:lvlJc w:val="left"/>
      <w:pPr>
        <w:ind w:left="1480" w:hanging="307"/>
      </w:pPr>
      <w:rPr>
        <w:rFonts w:hint="default"/>
        <w:lang w:val="en-US" w:eastAsia="en-US" w:bidi="ar-SA"/>
      </w:rPr>
    </w:lvl>
    <w:lvl w:ilvl="3" w:tplc="78C482B8">
      <w:numFmt w:val="bullet"/>
      <w:lvlText w:val="•"/>
      <w:lvlJc w:val="left"/>
      <w:pPr>
        <w:ind w:left="1820" w:hanging="307"/>
      </w:pPr>
      <w:rPr>
        <w:rFonts w:hint="default"/>
        <w:lang w:val="en-US" w:eastAsia="en-US" w:bidi="ar-SA"/>
      </w:rPr>
    </w:lvl>
    <w:lvl w:ilvl="4" w:tplc="499C7916">
      <w:numFmt w:val="bullet"/>
      <w:lvlText w:val="•"/>
      <w:lvlJc w:val="left"/>
      <w:pPr>
        <w:ind w:left="2000" w:hanging="307"/>
      </w:pPr>
      <w:rPr>
        <w:rFonts w:hint="default"/>
        <w:lang w:val="en-US" w:eastAsia="en-US" w:bidi="ar-SA"/>
      </w:rPr>
    </w:lvl>
    <w:lvl w:ilvl="5" w:tplc="C4A8D6CC">
      <w:numFmt w:val="bullet"/>
      <w:lvlText w:val="•"/>
      <w:lvlJc w:val="left"/>
      <w:pPr>
        <w:ind w:left="3567" w:hanging="307"/>
      </w:pPr>
      <w:rPr>
        <w:rFonts w:hint="default"/>
        <w:lang w:val="en-US" w:eastAsia="en-US" w:bidi="ar-SA"/>
      </w:rPr>
    </w:lvl>
    <w:lvl w:ilvl="6" w:tplc="EFA0580C">
      <w:numFmt w:val="bullet"/>
      <w:lvlText w:val="•"/>
      <w:lvlJc w:val="left"/>
      <w:pPr>
        <w:ind w:left="5135" w:hanging="307"/>
      </w:pPr>
      <w:rPr>
        <w:rFonts w:hint="default"/>
        <w:lang w:val="en-US" w:eastAsia="en-US" w:bidi="ar-SA"/>
      </w:rPr>
    </w:lvl>
    <w:lvl w:ilvl="7" w:tplc="1EF26C62">
      <w:numFmt w:val="bullet"/>
      <w:lvlText w:val="•"/>
      <w:lvlJc w:val="left"/>
      <w:pPr>
        <w:ind w:left="6703" w:hanging="307"/>
      </w:pPr>
      <w:rPr>
        <w:rFonts w:hint="default"/>
        <w:lang w:val="en-US" w:eastAsia="en-US" w:bidi="ar-SA"/>
      </w:rPr>
    </w:lvl>
    <w:lvl w:ilvl="8" w:tplc="698A726E">
      <w:numFmt w:val="bullet"/>
      <w:lvlText w:val="•"/>
      <w:lvlJc w:val="left"/>
      <w:pPr>
        <w:ind w:left="8270" w:hanging="307"/>
      </w:pPr>
      <w:rPr>
        <w:rFonts w:hint="default"/>
        <w:lang w:val="en-US" w:eastAsia="en-US" w:bidi="ar-SA"/>
      </w:rPr>
    </w:lvl>
  </w:abstractNum>
  <w:abstractNum w:abstractNumId="25" w15:restartNumberingAfterBreak="0">
    <w:nsid w:val="5BDF5569"/>
    <w:multiLevelType w:val="multilevel"/>
    <w:tmpl w:val="D482383A"/>
    <w:lvl w:ilvl="0">
      <w:start w:val="3"/>
      <w:numFmt w:val="decimal"/>
      <w:lvlText w:val="%1"/>
      <w:lvlJc w:val="left"/>
      <w:pPr>
        <w:ind w:left="360" w:hanging="360"/>
      </w:pPr>
      <w:rPr>
        <w:rFonts w:hint="default"/>
      </w:rPr>
    </w:lvl>
    <w:lvl w:ilvl="1">
      <w:start w:val="1"/>
      <w:numFmt w:val="decimal"/>
      <w:pStyle w:val="HEADINGCH3"/>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590C20"/>
    <w:multiLevelType w:val="hybridMultilevel"/>
    <w:tmpl w:val="A844A7B4"/>
    <w:lvl w:ilvl="0" w:tplc="13AAE4FE">
      <w:numFmt w:val="bullet"/>
      <w:lvlText w:val="-"/>
      <w:lvlJc w:val="left"/>
      <w:pPr>
        <w:ind w:left="1494" w:hanging="360"/>
      </w:pPr>
      <w:rPr>
        <w:rFonts w:ascii="Arial" w:eastAsia="宋体" w:hAnsi="Arial" w:cs="Arial" w:hint="default"/>
        <w:b/>
        <w:color w:val="auto"/>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7" w15:restartNumberingAfterBreak="0">
    <w:nsid w:val="692D4225"/>
    <w:multiLevelType w:val="hybridMultilevel"/>
    <w:tmpl w:val="959E4D50"/>
    <w:lvl w:ilvl="0" w:tplc="5548FB7E">
      <w:start w:val="1"/>
      <w:numFmt w:val="upp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8" w15:restartNumberingAfterBreak="0">
    <w:nsid w:val="6ECD7CCC"/>
    <w:multiLevelType w:val="hybridMultilevel"/>
    <w:tmpl w:val="32F8C968"/>
    <w:lvl w:ilvl="0" w:tplc="0413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71481FA4"/>
    <w:multiLevelType w:val="multilevel"/>
    <w:tmpl w:val="08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0" w15:restartNumberingAfterBreak="0">
    <w:nsid w:val="71DB3B5F"/>
    <w:multiLevelType w:val="hybridMultilevel"/>
    <w:tmpl w:val="84564466"/>
    <w:lvl w:ilvl="0" w:tplc="4EC08D8A">
      <w:start w:val="1"/>
      <w:numFmt w:val="decimal"/>
      <w:pStyle w:val="VBBParagraph"/>
      <w:lvlText w:val="%1."/>
      <w:lvlJc w:val="left"/>
      <w:pPr>
        <w:tabs>
          <w:tab w:val="num" w:pos="737"/>
        </w:tabs>
        <w:ind w:left="0" w:firstLine="0"/>
      </w:pPr>
      <w:rPr>
        <w:rFonts w:ascii="Times New Roman" w:hAnsi="Times New Roman" w:cs="Times New Roman" w:hint="default"/>
        <w:b w:val="0"/>
        <w:bCs w:val="0"/>
        <w:i w:val="0"/>
        <w:iCs w:val="0"/>
        <w:caps w:val="0"/>
        <w:strike w:val="0"/>
        <w:dstrike w:val="0"/>
        <w:vanish w:val="0"/>
        <w:color w:val="auto"/>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1DB3E0E"/>
    <w:multiLevelType w:val="hybridMultilevel"/>
    <w:tmpl w:val="A814B4DE"/>
    <w:lvl w:ilvl="0" w:tplc="3816F73C">
      <w:start w:val="87"/>
      <w:numFmt w:val="decimal"/>
      <w:lvlText w:val="%1."/>
      <w:lvlJc w:val="left"/>
      <w:pPr>
        <w:ind w:left="644" w:hanging="360"/>
      </w:pPr>
      <w:rPr>
        <w:rFonts w:ascii="Arial" w:hAnsi="Arial" w:cs="Arial"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7316A27"/>
    <w:multiLevelType w:val="hybridMultilevel"/>
    <w:tmpl w:val="D918EA1E"/>
    <w:lvl w:ilvl="0" w:tplc="632864B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C0C2568"/>
    <w:multiLevelType w:val="hybridMultilevel"/>
    <w:tmpl w:val="DF06A740"/>
    <w:lvl w:ilvl="0" w:tplc="48E605FC">
      <w:start w:val="1"/>
      <w:numFmt w:val="upperLetter"/>
      <w:lvlText w:val="%1."/>
      <w:lvlJc w:val="left"/>
      <w:pPr>
        <w:ind w:left="1080" w:hanging="360"/>
      </w:pPr>
      <w:rPr>
        <w:rFonts w:hint="default"/>
      </w:rPr>
    </w:lvl>
    <w:lvl w:ilvl="1" w:tplc="10000019">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num w:numId="1" w16cid:durableId="907153808">
    <w:abstractNumId w:val="14"/>
  </w:num>
  <w:num w:numId="2" w16cid:durableId="901788480">
    <w:abstractNumId w:val="25"/>
  </w:num>
  <w:num w:numId="3" w16cid:durableId="265968324">
    <w:abstractNumId w:val="32"/>
  </w:num>
  <w:num w:numId="4" w16cid:durableId="1490823065">
    <w:abstractNumId w:val="20"/>
    <w:lvlOverride w:ilvl="0">
      <w:lvl w:ilvl="0">
        <w:start w:val="1"/>
        <w:numFmt w:val="decimal"/>
        <w:pStyle w:val="HFWLevel1"/>
        <w:lvlText w:val="%1."/>
        <w:lvlJc w:val="left"/>
        <w:pPr>
          <w:ind w:left="720" w:hanging="720"/>
        </w:pPr>
        <w:rPr>
          <w:b/>
          <w:i w:val="0"/>
          <w:caps w:val="0"/>
          <w:smallCaps w:val="0"/>
          <w:strike w:val="0"/>
          <w:dstrike w:val="0"/>
          <w:vanish w:val="0"/>
          <w:position w:val="0"/>
          <w:u w:val="none"/>
          <w:vertAlign w:val="baseline"/>
        </w:rPr>
      </w:lvl>
    </w:lvlOverride>
    <w:lvlOverride w:ilvl="1">
      <w:lvl w:ilvl="1">
        <w:start w:val="1"/>
        <w:numFmt w:val="decimal"/>
        <w:pStyle w:val="HFWLevel2"/>
        <w:lvlText w:val="%1.%2"/>
        <w:lvlJc w:val="left"/>
        <w:pPr>
          <w:ind w:left="720" w:hanging="720"/>
        </w:pPr>
        <w:rPr>
          <w:b/>
          <w:i w:val="0"/>
          <w:caps w:val="0"/>
          <w:smallCaps w:val="0"/>
          <w:strike w:val="0"/>
          <w:dstrike w:val="0"/>
          <w:vanish w:val="0"/>
          <w:position w:val="0"/>
          <w:u w:val="none"/>
          <w:vertAlign w:val="baseline"/>
        </w:rPr>
      </w:lvl>
    </w:lvlOverride>
    <w:lvlOverride w:ilvl="2">
      <w:lvl w:ilvl="2">
        <w:start w:val="1"/>
        <w:numFmt w:val="lowerLetter"/>
        <w:pStyle w:val="HFWLevel3"/>
        <w:lvlText w:val="(%1.%2.%3)"/>
        <w:lvlJc w:val="left"/>
        <w:pPr>
          <w:ind w:left="1440" w:hanging="720"/>
        </w:pPr>
        <w:rPr>
          <w:b w:val="0"/>
          <w:i w:val="0"/>
          <w:caps w:val="0"/>
          <w:smallCaps w:val="0"/>
          <w:strike w:val="0"/>
          <w:dstrike w:val="0"/>
          <w:vanish w:val="0"/>
          <w:position w:val="0"/>
          <w:u w:val="none"/>
          <w:vertAlign w:val="baseline"/>
        </w:rPr>
      </w:lvl>
    </w:lvlOverride>
    <w:lvlOverride w:ilvl="3">
      <w:lvl w:ilvl="3">
        <w:start w:val="1"/>
        <w:numFmt w:val="lowerRoman"/>
        <w:pStyle w:val="HFWLevel4"/>
        <w:lvlText w:val="(%1.%2.%3.%4)"/>
        <w:lvlJc w:val="left"/>
        <w:pPr>
          <w:ind w:left="2160" w:hanging="720"/>
        </w:pPr>
        <w:rPr>
          <w:b w:val="0"/>
          <w:i w:val="0"/>
          <w:caps w:val="0"/>
          <w:smallCaps w:val="0"/>
          <w:strike w:val="0"/>
          <w:dstrike w:val="0"/>
          <w:vanish w:val="0"/>
          <w:position w:val="0"/>
          <w:u w:val="none"/>
          <w:vertAlign w:val="baseline"/>
        </w:rPr>
      </w:lvl>
    </w:lvlOverride>
    <w:lvlOverride w:ilvl="4">
      <w:lvl w:ilvl="4">
        <w:start w:val="1"/>
        <w:numFmt w:val="upperLetter"/>
        <w:pStyle w:val="HFWLevel5"/>
        <w:lvlText w:val="(%1.%2.%3.%4.%5)"/>
        <w:lvlJc w:val="left"/>
        <w:pPr>
          <w:ind w:left="2880" w:hanging="720"/>
        </w:pPr>
        <w:rPr>
          <w:b w:val="0"/>
          <w:i w:val="0"/>
          <w:caps w:val="0"/>
          <w:smallCaps w:val="0"/>
          <w:strike w:val="0"/>
          <w:dstrike w:val="0"/>
          <w:vanish w:val="0"/>
          <w:position w:val="0"/>
          <w:u w:val="none"/>
          <w:vertAlign w:val="baseline"/>
        </w:rPr>
      </w:lvl>
    </w:lvlOverride>
    <w:lvlOverride w:ilvl="5">
      <w:lvl w:ilvl="5">
        <w:start w:val="1"/>
        <w:numFmt w:val="upperRoman"/>
        <w:pStyle w:val="HFWLevel6"/>
        <w:lvlText w:val="(%1.%2.%3.%4.%5.%6)"/>
        <w:lvlJc w:val="left"/>
        <w:pPr>
          <w:ind w:left="3600" w:hanging="720"/>
        </w:pPr>
        <w:rPr>
          <w:b w:val="0"/>
          <w:i w:val="0"/>
          <w:caps w:val="0"/>
          <w:smallCaps w:val="0"/>
          <w:strike w:val="0"/>
          <w:dstrike w:val="0"/>
          <w:vanish w:val="0"/>
          <w:position w:val="0"/>
          <w:u w:val="none"/>
          <w:vertAlign w:val="baseline"/>
        </w:rPr>
      </w:lvl>
    </w:lvlOverride>
    <w:lvlOverride w:ilvl="6">
      <w:lvl w:ilvl="6">
        <w:start w:val="1"/>
        <w:numFmt w:val="none"/>
        <w:lvlText w:val="%7"/>
        <w:lvlJc w:val="left"/>
        <w:pPr>
          <w:ind w:left="1296" w:hanging="1296"/>
        </w:pPr>
      </w:lvl>
    </w:lvlOverride>
    <w:lvlOverride w:ilvl="7">
      <w:lvl w:ilvl="7">
        <w:start w:val="1"/>
        <w:numFmt w:val="none"/>
        <w:lvlText w:val="%8"/>
        <w:lvlJc w:val="left"/>
        <w:pPr>
          <w:ind w:left="1440" w:hanging="1440"/>
        </w:pPr>
      </w:lvl>
    </w:lvlOverride>
    <w:lvlOverride w:ilvl="8">
      <w:lvl w:ilvl="8">
        <w:start w:val="1"/>
        <w:numFmt w:val="none"/>
        <w:lvlText w:val="%9"/>
        <w:lvlJc w:val="left"/>
        <w:pPr>
          <w:ind w:left="1584" w:hanging="1584"/>
        </w:pPr>
      </w:lvl>
    </w:lvlOverride>
  </w:num>
  <w:num w:numId="5" w16cid:durableId="765660975">
    <w:abstractNumId w:val="20"/>
  </w:num>
  <w:num w:numId="6" w16cid:durableId="749691453">
    <w:abstractNumId w:val="29"/>
  </w:num>
  <w:num w:numId="7" w16cid:durableId="1396662739">
    <w:abstractNumId w:val="30"/>
  </w:num>
  <w:num w:numId="8" w16cid:durableId="2096972006">
    <w:abstractNumId w:val="19"/>
  </w:num>
  <w:num w:numId="9" w16cid:durableId="1023825989">
    <w:abstractNumId w:val="29"/>
    <w:lvlOverride w:ilvl="0">
      <w:startOverride w:val="3"/>
    </w:lvlOverride>
    <w:lvlOverride w:ilvl="1">
      <w:startOverride w:val="1"/>
    </w:lvlOverride>
    <w:lvlOverride w:ilvl="2">
      <w:startOverride w:val="2"/>
    </w:lvlOverride>
  </w:num>
  <w:num w:numId="10" w16cid:durableId="2074815501">
    <w:abstractNumId w:val="5"/>
  </w:num>
  <w:num w:numId="11" w16cid:durableId="1303346788">
    <w:abstractNumId w:val="0"/>
  </w:num>
  <w:num w:numId="12" w16cid:durableId="1272468000">
    <w:abstractNumId w:val="29"/>
    <w:lvlOverride w:ilvl="0">
      <w:startOverride w:val="3"/>
    </w:lvlOverride>
    <w:lvlOverride w:ilvl="1">
      <w:startOverride w:val="6"/>
    </w:lvlOverride>
  </w:num>
  <w:num w:numId="13" w16cid:durableId="647707129">
    <w:abstractNumId w:val="22"/>
  </w:num>
  <w:num w:numId="14" w16cid:durableId="1954169763">
    <w:abstractNumId w:val="29"/>
    <w:lvlOverride w:ilvl="0">
      <w:startOverride w:val="3"/>
    </w:lvlOverride>
    <w:lvlOverride w:ilvl="1">
      <w:startOverride w:val="3"/>
    </w:lvlOverride>
    <w:lvlOverride w:ilvl="2">
      <w:startOverride w:val="2"/>
    </w:lvlOverride>
  </w:num>
  <w:num w:numId="15" w16cid:durableId="201985425">
    <w:abstractNumId w:val="33"/>
  </w:num>
  <w:num w:numId="16" w16cid:durableId="301890405">
    <w:abstractNumId w:val="27"/>
  </w:num>
  <w:num w:numId="17" w16cid:durableId="1911109010">
    <w:abstractNumId w:val="2"/>
  </w:num>
  <w:num w:numId="18" w16cid:durableId="515270749">
    <w:abstractNumId w:val="4"/>
  </w:num>
  <w:num w:numId="19" w16cid:durableId="591475094">
    <w:abstractNumId w:val="1"/>
  </w:num>
  <w:num w:numId="20" w16cid:durableId="738677694">
    <w:abstractNumId w:val="16"/>
  </w:num>
  <w:num w:numId="21" w16cid:durableId="1688629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0631400">
    <w:abstractNumId w:val="28"/>
  </w:num>
  <w:num w:numId="23" w16cid:durableId="352538807">
    <w:abstractNumId w:val="23"/>
  </w:num>
  <w:num w:numId="24" w16cid:durableId="599800053">
    <w:abstractNumId w:val="9"/>
  </w:num>
  <w:num w:numId="25" w16cid:durableId="1393236748">
    <w:abstractNumId w:val="21"/>
  </w:num>
  <w:num w:numId="26" w16cid:durableId="309679122">
    <w:abstractNumId w:val="26"/>
  </w:num>
  <w:num w:numId="27" w16cid:durableId="1520116933">
    <w:abstractNumId w:val="11"/>
  </w:num>
  <w:num w:numId="28" w16cid:durableId="1708215558">
    <w:abstractNumId w:val="24"/>
  </w:num>
  <w:num w:numId="29" w16cid:durableId="1068725603">
    <w:abstractNumId w:val="10"/>
  </w:num>
  <w:num w:numId="30" w16cid:durableId="208421168">
    <w:abstractNumId w:val="29"/>
  </w:num>
  <w:num w:numId="31" w16cid:durableId="2101220778">
    <w:abstractNumId w:val="18"/>
  </w:num>
  <w:num w:numId="32" w16cid:durableId="1135832429">
    <w:abstractNumId w:val="3"/>
  </w:num>
  <w:num w:numId="33" w16cid:durableId="643392728">
    <w:abstractNumId w:val="29"/>
  </w:num>
  <w:num w:numId="34" w16cid:durableId="1496724088">
    <w:abstractNumId w:val="12"/>
  </w:num>
  <w:num w:numId="35" w16cid:durableId="1291404207">
    <w:abstractNumId w:val="29"/>
  </w:num>
  <w:num w:numId="36" w16cid:durableId="1030109309">
    <w:abstractNumId w:val="8"/>
  </w:num>
  <w:num w:numId="37" w16cid:durableId="1236554753">
    <w:abstractNumId w:val="15"/>
  </w:num>
  <w:num w:numId="38" w16cid:durableId="610285927">
    <w:abstractNumId w:val="6"/>
  </w:num>
  <w:num w:numId="39" w16cid:durableId="835461221">
    <w:abstractNumId w:val="13"/>
  </w:num>
  <w:num w:numId="40" w16cid:durableId="161093827">
    <w:abstractNumId w:val="7"/>
  </w:num>
  <w:num w:numId="41" w16cid:durableId="501238371">
    <w:abstractNumId w:val="31"/>
  </w:num>
  <w:num w:numId="42" w16cid:durableId="11954414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EF5"/>
    <w:rsid w:val="00000AAD"/>
    <w:rsid w:val="00001600"/>
    <w:rsid w:val="000030B2"/>
    <w:rsid w:val="000041EF"/>
    <w:rsid w:val="0000558F"/>
    <w:rsid w:val="000062D7"/>
    <w:rsid w:val="00006700"/>
    <w:rsid w:val="00006E99"/>
    <w:rsid w:val="00007017"/>
    <w:rsid w:val="000079AE"/>
    <w:rsid w:val="00007E76"/>
    <w:rsid w:val="00007FC3"/>
    <w:rsid w:val="00010026"/>
    <w:rsid w:val="00010DC0"/>
    <w:rsid w:val="00012027"/>
    <w:rsid w:val="000125B5"/>
    <w:rsid w:val="00012787"/>
    <w:rsid w:val="00012D17"/>
    <w:rsid w:val="00013248"/>
    <w:rsid w:val="00013427"/>
    <w:rsid w:val="00014458"/>
    <w:rsid w:val="000147AF"/>
    <w:rsid w:val="00014C46"/>
    <w:rsid w:val="00014EDC"/>
    <w:rsid w:val="000150EA"/>
    <w:rsid w:val="000158C3"/>
    <w:rsid w:val="00015BD1"/>
    <w:rsid w:val="00016CC2"/>
    <w:rsid w:val="00016F5B"/>
    <w:rsid w:val="0001712F"/>
    <w:rsid w:val="000175BF"/>
    <w:rsid w:val="000178BB"/>
    <w:rsid w:val="00017ABB"/>
    <w:rsid w:val="000202B9"/>
    <w:rsid w:val="000205EC"/>
    <w:rsid w:val="00020C35"/>
    <w:rsid w:val="000214B5"/>
    <w:rsid w:val="0002175B"/>
    <w:rsid w:val="00021BF9"/>
    <w:rsid w:val="00022207"/>
    <w:rsid w:val="000224BD"/>
    <w:rsid w:val="00023371"/>
    <w:rsid w:val="00024322"/>
    <w:rsid w:val="00024633"/>
    <w:rsid w:val="0002468A"/>
    <w:rsid w:val="00024B69"/>
    <w:rsid w:val="00024DF2"/>
    <w:rsid w:val="000265FA"/>
    <w:rsid w:val="00027E86"/>
    <w:rsid w:val="00030013"/>
    <w:rsid w:val="000314EF"/>
    <w:rsid w:val="0003281F"/>
    <w:rsid w:val="000331C0"/>
    <w:rsid w:val="000338E4"/>
    <w:rsid w:val="00033EA8"/>
    <w:rsid w:val="00034157"/>
    <w:rsid w:val="000341DF"/>
    <w:rsid w:val="0003508C"/>
    <w:rsid w:val="00036532"/>
    <w:rsid w:val="00036FFF"/>
    <w:rsid w:val="00037B71"/>
    <w:rsid w:val="00037CBC"/>
    <w:rsid w:val="00040908"/>
    <w:rsid w:val="00040A0F"/>
    <w:rsid w:val="00041C9A"/>
    <w:rsid w:val="00041F7E"/>
    <w:rsid w:val="00042144"/>
    <w:rsid w:val="00042610"/>
    <w:rsid w:val="000427F4"/>
    <w:rsid w:val="000428E6"/>
    <w:rsid w:val="00043986"/>
    <w:rsid w:val="00043ED3"/>
    <w:rsid w:val="00044173"/>
    <w:rsid w:val="0004419B"/>
    <w:rsid w:val="00044D3B"/>
    <w:rsid w:val="00044E49"/>
    <w:rsid w:val="00045E04"/>
    <w:rsid w:val="00046A0C"/>
    <w:rsid w:val="00047795"/>
    <w:rsid w:val="00047DF5"/>
    <w:rsid w:val="0005003F"/>
    <w:rsid w:val="00050273"/>
    <w:rsid w:val="000525CF"/>
    <w:rsid w:val="00052F5B"/>
    <w:rsid w:val="000530BA"/>
    <w:rsid w:val="000532FA"/>
    <w:rsid w:val="00053352"/>
    <w:rsid w:val="00053558"/>
    <w:rsid w:val="0005396E"/>
    <w:rsid w:val="0005471F"/>
    <w:rsid w:val="00054FE0"/>
    <w:rsid w:val="0005545C"/>
    <w:rsid w:val="0005603E"/>
    <w:rsid w:val="00060152"/>
    <w:rsid w:val="000602A9"/>
    <w:rsid w:val="0006157B"/>
    <w:rsid w:val="00061930"/>
    <w:rsid w:val="00062C4D"/>
    <w:rsid w:val="00064BC2"/>
    <w:rsid w:val="0006517E"/>
    <w:rsid w:val="00065B9B"/>
    <w:rsid w:val="00066381"/>
    <w:rsid w:val="00066E7E"/>
    <w:rsid w:val="000700B9"/>
    <w:rsid w:val="000702B8"/>
    <w:rsid w:val="000703C6"/>
    <w:rsid w:val="00070E06"/>
    <w:rsid w:val="00070E47"/>
    <w:rsid w:val="000712EE"/>
    <w:rsid w:val="00071CC5"/>
    <w:rsid w:val="00071EA1"/>
    <w:rsid w:val="000722AA"/>
    <w:rsid w:val="00072E89"/>
    <w:rsid w:val="00074A17"/>
    <w:rsid w:val="00074DDA"/>
    <w:rsid w:val="00074EF0"/>
    <w:rsid w:val="0007534A"/>
    <w:rsid w:val="00075EEB"/>
    <w:rsid w:val="000760FD"/>
    <w:rsid w:val="000802C5"/>
    <w:rsid w:val="000816AC"/>
    <w:rsid w:val="00081C54"/>
    <w:rsid w:val="00082757"/>
    <w:rsid w:val="00084F14"/>
    <w:rsid w:val="0008553E"/>
    <w:rsid w:val="000857AF"/>
    <w:rsid w:val="00086921"/>
    <w:rsid w:val="000871B4"/>
    <w:rsid w:val="000876CF"/>
    <w:rsid w:val="000902F8"/>
    <w:rsid w:val="00090542"/>
    <w:rsid w:val="00092407"/>
    <w:rsid w:val="00093288"/>
    <w:rsid w:val="00093EB7"/>
    <w:rsid w:val="0009438D"/>
    <w:rsid w:val="000945A8"/>
    <w:rsid w:val="00094AF4"/>
    <w:rsid w:val="000955C2"/>
    <w:rsid w:val="00095C4E"/>
    <w:rsid w:val="000962CF"/>
    <w:rsid w:val="000A04BE"/>
    <w:rsid w:val="000A0506"/>
    <w:rsid w:val="000A0548"/>
    <w:rsid w:val="000A0CF9"/>
    <w:rsid w:val="000A21C1"/>
    <w:rsid w:val="000A23A3"/>
    <w:rsid w:val="000A289A"/>
    <w:rsid w:val="000A2D39"/>
    <w:rsid w:val="000A2F92"/>
    <w:rsid w:val="000A33D1"/>
    <w:rsid w:val="000A3DF7"/>
    <w:rsid w:val="000A41C9"/>
    <w:rsid w:val="000A4518"/>
    <w:rsid w:val="000A4DB3"/>
    <w:rsid w:val="000A5664"/>
    <w:rsid w:val="000A5DC6"/>
    <w:rsid w:val="000A6677"/>
    <w:rsid w:val="000A6E32"/>
    <w:rsid w:val="000A73E6"/>
    <w:rsid w:val="000A786F"/>
    <w:rsid w:val="000B0081"/>
    <w:rsid w:val="000B1AE2"/>
    <w:rsid w:val="000B3556"/>
    <w:rsid w:val="000B3D2D"/>
    <w:rsid w:val="000B449E"/>
    <w:rsid w:val="000B5330"/>
    <w:rsid w:val="000B5DB1"/>
    <w:rsid w:val="000B6ADD"/>
    <w:rsid w:val="000B7381"/>
    <w:rsid w:val="000C00D1"/>
    <w:rsid w:val="000C1D1B"/>
    <w:rsid w:val="000C257E"/>
    <w:rsid w:val="000C448B"/>
    <w:rsid w:val="000C45C4"/>
    <w:rsid w:val="000C50F2"/>
    <w:rsid w:val="000C652C"/>
    <w:rsid w:val="000C668E"/>
    <w:rsid w:val="000C72B9"/>
    <w:rsid w:val="000D0011"/>
    <w:rsid w:val="000D04CE"/>
    <w:rsid w:val="000D0509"/>
    <w:rsid w:val="000D06DD"/>
    <w:rsid w:val="000D1184"/>
    <w:rsid w:val="000D1828"/>
    <w:rsid w:val="000D1B2A"/>
    <w:rsid w:val="000D1B43"/>
    <w:rsid w:val="000D2218"/>
    <w:rsid w:val="000D32F6"/>
    <w:rsid w:val="000D3586"/>
    <w:rsid w:val="000D451A"/>
    <w:rsid w:val="000D6779"/>
    <w:rsid w:val="000D6CF8"/>
    <w:rsid w:val="000D6F34"/>
    <w:rsid w:val="000E08CA"/>
    <w:rsid w:val="000E0C3E"/>
    <w:rsid w:val="000E1554"/>
    <w:rsid w:val="000E1DFA"/>
    <w:rsid w:val="000E220D"/>
    <w:rsid w:val="000E2C76"/>
    <w:rsid w:val="000E3156"/>
    <w:rsid w:val="000E3298"/>
    <w:rsid w:val="000E32D2"/>
    <w:rsid w:val="000E4458"/>
    <w:rsid w:val="000E4B90"/>
    <w:rsid w:val="000E4E25"/>
    <w:rsid w:val="000E5522"/>
    <w:rsid w:val="000E616A"/>
    <w:rsid w:val="000E7469"/>
    <w:rsid w:val="000F05D8"/>
    <w:rsid w:val="000F0DE2"/>
    <w:rsid w:val="000F0DF1"/>
    <w:rsid w:val="000F1024"/>
    <w:rsid w:val="000F1436"/>
    <w:rsid w:val="000F1514"/>
    <w:rsid w:val="000F17B8"/>
    <w:rsid w:val="000F1F24"/>
    <w:rsid w:val="000F3295"/>
    <w:rsid w:val="000F3A48"/>
    <w:rsid w:val="000F3B2A"/>
    <w:rsid w:val="000F48FA"/>
    <w:rsid w:val="000F4E6E"/>
    <w:rsid w:val="000F712A"/>
    <w:rsid w:val="000F767C"/>
    <w:rsid w:val="000F7A46"/>
    <w:rsid w:val="000F7B56"/>
    <w:rsid w:val="001001FC"/>
    <w:rsid w:val="001008C7"/>
    <w:rsid w:val="001014B1"/>
    <w:rsid w:val="0010177D"/>
    <w:rsid w:val="00101BD2"/>
    <w:rsid w:val="00102512"/>
    <w:rsid w:val="00103458"/>
    <w:rsid w:val="00103892"/>
    <w:rsid w:val="001038FD"/>
    <w:rsid w:val="00103971"/>
    <w:rsid w:val="00104240"/>
    <w:rsid w:val="00104B64"/>
    <w:rsid w:val="00105088"/>
    <w:rsid w:val="001057A1"/>
    <w:rsid w:val="001059EF"/>
    <w:rsid w:val="00106170"/>
    <w:rsid w:val="001066F4"/>
    <w:rsid w:val="001073B7"/>
    <w:rsid w:val="00110731"/>
    <w:rsid w:val="00111053"/>
    <w:rsid w:val="0011115F"/>
    <w:rsid w:val="0011122A"/>
    <w:rsid w:val="00112627"/>
    <w:rsid w:val="001134E2"/>
    <w:rsid w:val="001135B1"/>
    <w:rsid w:val="00114125"/>
    <w:rsid w:val="0011413D"/>
    <w:rsid w:val="00114352"/>
    <w:rsid w:val="00114501"/>
    <w:rsid w:val="0011461A"/>
    <w:rsid w:val="001146A4"/>
    <w:rsid w:val="00114E8B"/>
    <w:rsid w:val="0011521F"/>
    <w:rsid w:val="00115436"/>
    <w:rsid w:val="001154E0"/>
    <w:rsid w:val="00115EBA"/>
    <w:rsid w:val="00115FB5"/>
    <w:rsid w:val="0011696D"/>
    <w:rsid w:val="00116A05"/>
    <w:rsid w:val="00116A13"/>
    <w:rsid w:val="001177B5"/>
    <w:rsid w:val="001206ED"/>
    <w:rsid w:val="00120AF5"/>
    <w:rsid w:val="00121209"/>
    <w:rsid w:val="00122A2D"/>
    <w:rsid w:val="00122B4B"/>
    <w:rsid w:val="00122D18"/>
    <w:rsid w:val="0012301D"/>
    <w:rsid w:val="00124157"/>
    <w:rsid w:val="00124329"/>
    <w:rsid w:val="001243AD"/>
    <w:rsid w:val="00125952"/>
    <w:rsid w:val="00125DD7"/>
    <w:rsid w:val="00126A30"/>
    <w:rsid w:val="00127549"/>
    <w:rsid w:val="0013111E"/>
    <w:rsid w:val="00131918"/>
    <w:rsid w:val="00131A45"/>
    <w:rsid w:val="00131BD5"/>
    <w:rsid w:val="00131C50"/>
    <w:rsid w:val="001320D2"/>
    <w:rsid w:val="00132D6D"/>
    <w:rsid w:val="00133034"/>
    <w:rsid w:val="00133197"/>
    <w:rsid w:val="0013410D"/>
    <w:rsid w:val="00134AC1"/>
    <w:rsid w:val="00134FB0"/>
    <w:rsid w:val="00135AFB"/>
    <w:rsid w:val="00135B3D"/>
    <w:rsid w:val="0013619E"/>
    <w:rsid w:val="001363D0"/>
    <w:rsid w:val="0013703D"/>
    <w:rsid w:val="001373A4"/>
    <w:rsid w:val="00137558"/>
    <w:rsid w:val="00137FF4"/>
    <w:rsid w:val="00140057"/>
    <w:rsid w:val="00141092"/>
    <w:rsid w:val="00141F92"/>
    <w:rsid w:val="001439DA"/>
    <w:rsid w:val="00143B31"/>
    <w:rsid w:val="00143F48"/>
    <w:rsid w:val="00145DBA"/>
    <w:rsid w:val="001461EF"/>
    <w:rsid w:val="001462F2"/>
    <w:rsid w:val="00146A43"/>
    <w:rsid w:val="00147036"/>
    <w:rsid w:val="001470B9"/>
    <w:rsid w:val="0014726F"/>
    <w:rsid w:val="001502E7"/>
    <w:rsid w:val="0015109A"/>
    <w:rsid w:val="00151566"/>
    <w:rsid w:val="001522A2"/>
    <w:rsid w:val="00152F3D"/>
    <w:rsid w:val="0015327D"/>
    <w:rsid w:val="00153589"/>
    <w:rsid w:val="0015385A"/>
    <w:rsid w:val="00153965"/>
    <w:rsid w:val="00153B41"/>
    <w:rsid w:val="00153EF3"/>
    <w:rsid w:val="00154458"/>
    <w:rsid w:val="001544C4"/>
    <w:rsid w:val="001568DB"/>
    <w:rsid w:val="00157D60"/>
    <w:rsid w:val="00157F7B"/>
    <w:rsid w:val="00161838"/>
    <w:rsid w:val="00161B3F"/>
    <w:rsid w:val="00161C90"/>
    <w:rsid w:val="0016213F"/>
    <w:rsid w:val="0016247B"/>
    <w:rsid w:val="001626F8"/>
    <w:rsid w:val="00163B23"/>
    <w:rsid w:val="00163F17"/>
    <w:rsid w:val="001640AF"/>
    <w:rsid w:val="001645FC"/>
    <w:rsid w:val="0016461E"/>
    <w:rsid w:val="00164651"/>
    <w:rsid w:val="00164D68"/>
    <w:rsid w:val="00164DF3"/>
    <w:rsid w:val="001653C4"/>
    <w:rsid w:val="0016667C"/>
    <w:rsid w:val="001678B1"/>
    <w:rsid w:val="00167AAD"/>
    <w:rsid w:val="0017259C"/>
    <w:rsid w:val="00172820"/>
    <w:rsid w:val="001733BD"/>
    <w:rsid w:val="00174439"/>
    <w:rsid w:val="00174D41"/>
    <w:rsid w:val="0017504F"/>
    <w:rsid w:val="00175489"/>
    <w:rsid w:val="00175A9B"/>
    <w:rsid w:val="00175C45"/>
    <w:rsid w:val="00175E48"/>
    <w:rsid w:val="001764FB"/>
    <w:rsid w:val="00176988"/>
    <w:rsid w:val="00176F5F"/>
    <w:rsid w:val="0017727C"/>
    <w:rsid w:val="001775AE"/>
    <w:rsid w:val="0017791D"/>
    <w:rsid w:val="00177BC0"/>
    <w:rsid w:val="00177D70"/>
    <w:rsid w:val="00180699"/>
    <w:rsid w:val="001809FC"/>
    <w:rsid w:val="001810BF"/>
    <w:rsid w:val="00181729"/>
    <w:rsid w:val="00181F38"/>
    <w:rsid w:val="00184152"/>
    <w:rsid w:val="00184161"/>
    <w:rsid w:val="00184787"/>
    <w:rsid w:val="00186238"/>
    <w:rsid w:val="001868C4"/>
    <w:rsid w:val="00186D31"/>
    <w:rsid w:val="001874DF"/>
    <w:rsid w:val="00187F01"/>
    <w:rsid w:val="00190E73"/>
    <w:rsid w:val="00191639"/>
    <w:rsid w:val="00191FC5"/>
    <w:rsid w:val="001931A3"/>
    <w:rsid w:val="00193709"/>
    <w:rsid w:val="001942D6"/>
    <w:rsid w:val="001952EC"/>
    <w:rsid w:val="00195C99"/>
    <w:rsid w:val="0019649F"/>
    <w:rsid w:val="00196927"/>
    <w:rsid w:val="0019772E"/>
    <w:rsid w:val="00197F25"/>
    <w:rsid w:val="001A0AB0"/>
    <w:rsid w:val="001A0E91"/>
    <w:rsid w:val="001A10FE"/>
    <w:rsid w:val="001A142A"/>
    <w:rsid w:val="001A1582"/>
    <w:rsid w:val="001A292D"/>
    <w:rsid w:val="001A31CF"/>
    <w:rsid w:val="001A415F"/>
    <w:rsid w:val="001A45C6"/>
    <w:rsid w:val="001A46B7"/>
    <w:rsid w:val="001A4C08"/>
    <w:rsid w:val="001A4D00"/>
    <w:rsid w:val="001A58BE"/>
    <w:rsid w:val="001A5E6E"/>
    <w:rsid w:val="001A69BB"/>
    <w:rsid w:val="001A6BB2"/>
    <w:rsid w:val="001A6BE2"/>
    <w:rsid w:val="001A6FA9"/>
    <w:rsid w:val="001A6FD6"/>
    <w:rsid w:val="001A70E9"/>
    <w:rsid w:val="001A7FB5"/>
    <w:rsid w:val="001B0020"/>
    <w:rsid w:val="001B0A3F"/>
    <w:rsid w:val="001B1312"/>
    <w:rsid w:val="001B17F9"/>
    <w:rsid w:val="001B1FDD"/>
    <w:rsid w:val="001B1FF7"/>
    <w:rsid w:val="001B23E0"/>
    <w:rsid w:val="001B369A"/>
    <w:rsid w:val="001B3AD8"/>
    <w:rsid w:val="001B401A"/>
    <w:rsid w:val="001B4AB4"/>
    <w:rsid w:val="001B5A7F"/>
    <w:rsid w:val="001B5D27"/>
    <w:rsid w:val="001B6BC0"/>
    <w:rsid w:val="001B707C"/>
    <w:rsid w:val="001B74DA"/>
    <w:rsid w:val="001B7FA3"/>
    <w:rsid w:val="001C0526"/>
    <w:rsid w:val="001C12DE"/>
    <w:rsid w:val="001C258F"/>
    <w:rsid w:val="001C27F0"/>
    <w:rsid w:val="001C322E"/>
    <w:rsid w:val="001C354C"/>
    <w:rsid w:val="001C5799"/>
    <w:rsid w:val="001C609D"/>
    <w:rsid w:val="001C6103"/>
    <w:rsid w:val="001C6834"/>
    <w:rsid w:val="001C7250"/>
    <w:rsid w:val="001C72FF"/>
    <w:rsid w:val="001D0148"/>
    <w:rsid w:val="001D0861"/>
    <w:rsid w:val="001D0EFC"/>
    <w:rsid w:val="001D1182"/>
    <w:rsid w:val="001D1600"/>
    <w:rsid w:val="001D1738"/>
    <w:rsid w:val="001D1B1E"/>
    <w:rsid w:val="001D1F59"/>
    <w:rsid w:val="001D27B2"/>
    <w:rsid w:val="001D3D55"/>
    <w:rsid w:val="001D465A"/>
    <w:rsid w:val="001D55BF"/>
    <w:rsid w:val="001D5823"/>
    <w:rsid w:val="001D6315"/>
    <w:rsid w:val="001D6769"/>
    <w:rsid w:val="001D6D6A"/>
    <w:rsid w:val="001D7030"/>
    <w:rsid w:val="001D7C0B"/>
    <w:rsid w:val="001E0299"/>
    <w:rsid w:val="001E08CA"/>
    <w:rsid w:val="001E0E2E"/>
    <w:rsid w:val="001E1161"/>
    <w:rsid w:val="001E1219"/>
    <w:rsid w:val="001E20E0"/>
    <w:rsid w:val="001E3234"/>
    <w:rsid w:val="001E3573"/>
    <w:rsid w:val="001E3AE1"/>
    <w:rsid w:val="001E447E"/>
    <w:rsid w:val="001E4636"/>
    <w:rsid w:val="001E5BCB"/>
    <w:rsid w:val="001E754F"/>
    <w:rsid w:val="001E75AF"/>
    <w:rsid w:val="001E7E3F"/>
    <w:rsid w:val="001E7FDC"/>
    <w:rsid w:val="001F0064"/>
    <w:rsid w:val="001F0498"/>
    <w:rsid w:val="001F04C4"/>
    <w:rsid w:val="001F068C"/>
    <w:rsid w:val="001F1843"/>
    <w:rsid w:val="001F2046"/>
    <w:rsid w:val="001F2CA5"/>
    <w:rsid w:val="001F4251"/>
    <w:rsid w:val="001F4619"/>
    <w:rsid w:val="001F48E0"/>
    <w:rsid w:val="001F5341"/>
    <w:rsid w:val="001F5784"/>
    <w:rsid w:val="001F6B5A"/>
    <w:rsid w:val="001F7037"/>
    <w:rsid w:val="001F718A"/>
    <w:rsid w:val="001F778F"/>
    <w:rsid w:val="001F79CE"/>
    <w:rsid w:val="001F79D9"/>
    <w:rsid w:val="002006C1"/>
    <w:rsid w:val="00200CAA"/>
    <w:rsid w:val="00200D26"/>
    <w:rsid w:val="00201550"/>
    <w:rsid w:val="00201688"/>
    <w:rsid w:val="00202A31"/>
    <w:rsid w:val="00204111"/>
    <w:rsid w:val="002050CE"/>
    <w:rsid w:val="00205C2F"/>
    <w:rsid w:val="00206094"/>
    <w:rsid w:val="00206A54"/>
    <w:rsid w:val="002074C1"/>
    <w:rsid w:val="002104F7"/>
    <w:rsid w:val="00213817"/>
    <w:rsid w:val="00214434"/>
    <w:rsid w:val="00215251"/>
    <w:rsid w:val="00215878"/>
    <w:rsid w:val="0021626A"/>
    <w:rsid w:val="00216420"/>
    <w:rsid w:val="00216E38"/>
    <w:rsid w:val="002172BC"/>
    <w:rsid w:val="00217396"/>
    <w:rsid w:val="00217946"/>
    <w:rsid w:val="00220471"/>
    <w:rsid w:val="00220863"/>
    <w:rsid w:val="002232E2"/>
    <w:rsid w:val="002246BE"/>
    <w:rsid w:val="002253BD"/>
    <w:rsid w:val="0022565D"/>
    <w:rsid w:val="00225A7B"/>
    <w:rsid w:val="0022643E"/>
    <w:rsid w:val="00226C57"/>
    <w:rsid w:val="002272EA"/>
    <w:rsid w:val="00230C13"/>
    <w:rsid w:val="002319D7"/>
    <w:rsid w:val="00231EBD"/>
    <w:rsid w:val="00232437"/>
    <w:rsid w:val="0023254F"/>
    <w:rsid w:val="00232743"/>
    <w:rsid w:val="00233060"/>
    <w:rsid w:val="0023372F"/>
    <w:rsid w:val="00233907"/>
    <w:rsid w:val="002357B2"/>
    <w:rsid w:val="00237164"/>
    <w:rsid w:val="00237CE0"/>
    <w:rsid w:val="002402C1"/>
    <w:rsid w:val="00240417"/>
    <w:rsid w:val="0024076D"/>
    <w:rsid w:val="0024117E"/>
    <w:rsid w:val="0024194D"/>
    <w:rsid w:val="00241D94"/>
    <w:rsid w:val="002420B4"/>
    <w:rsid w:val="00242590"/>
    <w:rsid w:val="00242AF8"/>
    <w:rsid w:val="0024373E"/>
    <w:rsid w:val="002438DF"/>
    <w:rsid w:val="00244855"/>
    <w:rsid w:val="00244AB1"/>
    <w:rsid w:val="002451E2"/>
    <w:rsid w:val="00245BF6"/>
    <w:rsid w:val="002460C0"/>
    <w:rsid w:val="00246700"/>
    <w:rsid w:val="00247AB3"/>
    <w:rsid w:val="00252056"/>
    <w:rsid w:val="00252A92"/>
    <w:rsid w:val="002532B3"/>
    <w:rsid w:val="002533A6"/>
    <w:rsid w:val="002553D8"/>
    <w:rsid w:val="002556EA"/>
    <w:rsid w:val="0025570D"/>
    <w:rsid w:val="002558DE"/>
    <w:rsid w:val="002561CD"/>
    <w:rsid w:val="00256446"/>
    <w:rsid w:val="00256923"/>
    <w:rsid w:val="00257086"/>
    <w:rsid w:val="002577D9"/>
    <w:rsid w:val="00257CAA"/>
    <w:rsid w:val="00257DDD"/>
    <w:rsid w:val="0026141D"/>
    <w:rsid w:val="0026217B"/>
    <w:rsid w:val="002623A9"/>
    <w:rsid w:val="00262CAF"/>
    <w:rsid w:val="00262E0F"/>
    <w:rsid w:val="00263010"/>
    <w:rsid w:val="00263D0A"/>
    <w:rsid w:val="00264E96"/>
    <w:rsid w:val="00265367"/>
    <w:rsid w:val="0026570C"/>
    <w:rsid w:val="00265730"/>
    <w:rsid w:val="00265FAD"/>
    <w:rsid w:val="002662B5"/>
    <w:rsid w:val="0026687F"/>
    <w:rsid w:val="00266A98"/>
    <w:rsid w:val="00272194"/>
    <w:rsid w:val="00272530"/>
    <w:rsid w:val="00273439"/>
    <w:rsid w:val="00273A2D"/>
    <w:rsid w:val="00273A7F"/>
    <w:rsid w:val="0027406B"/>
    <w:rsid w:val="0027527B"/>
    <w:rsid w:val="002759B3"/>
    <w:rsid w:val="002760DC"/>
    <w:rsid w:val="00276380"/>
    <w:rsid w:val="002768B5"/>
    <w:rsid w:val="0027764A"/>
    <w:rsid w:val="0027790F"/>
    <w:rsid w:val="0028063D"/>
    <w:rsid w:val="002809F5"/>
    <w:rsid w:val="00283543"/>
    <w:rsid w:val="00284350"/>
    <w:rsid w:val="002856D5"/>
    <w:rsid w:val="00285BB6"/>
    <w:rsid w:val="002863C6"/>
    <w:rsid w:val="00286DED"/>
    <w:rsid w:val="00287657"/>
    <w:rsid w:val="002878AB"/>
    <w:rsid w:val="00290332"/>
    <w:rsid w:val="00290484"/>
    <w:rsid w:val="00290B30"/>
    <w:rsid w:val="00290FBC"/>
    <w:rsid w:val="00291B37"/>
    <w:rsid w:val="002925AA"/>
    <w:rsid w:val="00293471"/>
    <w:rsid w:val="00294186"/>
    <w:rsid w:val="00294F4C"/>
    <w:rsid w:val="002952D9"/>
    <w:rsid w:val="00295828"/>
    <w:rsid w:val="00295921"/>
    <w:rsid w:val="00295EAC"/>
    <w:rsid w:val="00296316"/>
    <w:rsid w:val="00296D6E"/>
    <w:rsid w:val="00297438"/>
    <w:rsid w:val="002974BA"/>
    <w:rsid w:val="002A0433"/>
    <w:rsid w:val="002A0FEE"/>
    <w:rsid w:val="002A1172"/>
    <w:rsid w:val="002A2483"/>
    <w:rsid w:val="002A2CAC"/>
    <w:rsid w:val="002A30FE"/>
    <w:rsid w:val="002A3946"/>
    <w:rsid w:val="002A3BE6"/>
    <w:rsid w:val="002A40C9"/>
    <w:rsid w:val="002A464D"/>
    <w:rsid w:val="002A4A81"/>
    <w:rsid w:val="002A4FE1"/>
    <w:rsid w:val="002A5B57"/>
    <w:rsid w:val="002A7DA0"/>
    <w:rsid w:val="002B141F"/>
    <w:rsid w:val="002B1B68"/>
    <w:rsid w:val="002B2A3A"/>
    <w:rsid w:val="002B329B"/>
    <w:rsid w:val="002B3704"/>
    <w:rsid w:val="002B3854"/>
    <w:rsid w:val="002B38BD"/>
    <w:rsid w:val="002B4CC8"/>
    <w:rsid w:val="002B5497"/>
    <w:rsid w:val="002B5960"/>
    <w:rsid w:val="002B5B88"/>
    <w:rsid w:val="002B6509"/>
    <w:rsid w:val="002B6631"/>
    <w:rsid w:val="002B6F6E"/>
    <w:rsid w:val="002B6FF7"/>
    <w:rsid w:val="002B7534"/>
    <w:rsid w:val="002B7783"/>
    <w:rsid w:val="002C0F5C"/>
    <w:rsid w:val="002C130E"/>
    <w:rsid w:val="002C242B"/>
    <w:rsid w:val="002C2B02"/>
    <w:rsid w:val="002C30D1"/>
    <w:rsid w:val="002C30EC"/>
    <w:rsid w:val="002C31F6"/>
    <w:rsid w:val="002C3984"/>
    <w:rsid w:val="002C40C7"/>
    <w:rsid w:val="002C4969"/>
    <w:rsid w:val="002C5359"/>
    <w:rsid w:val="002C644F"/>
    <w:rsid w:val="002C6BDC"/>
    <w:rsid w:val="002C7133"/>
    <w:rsid w:val="002C7570"/>
    <w:rsid w:val="002C7A16"/>
    <w:rsid w:val="002D07CB"/>
    <w:rsid w:val="002D0F39"/>
    <w:rsid w:val="002D114F"/>
    <w:rsid w:val="002D14FD"/>
    <w:rsid w:val="002D1775"/>
    <w:rsid w:val="002D224B"/>
    <w:rsid w:val="002D381A"/>
    <w:rsid w:val="002D4704"/>
    <w:rsid w:val="002D5129"/>
    <w:rsid w:val="002D568A"/>
    <w:rsid w:val="002D5A7B"/>
    <w:rsid w:val="002D5BD2"/>
    <w:rsid w:val="002D5FFF"/>
    <w:rsid w:val="002D691B"/>
    <w:rsid w:val="002D6E1B"/>
    <w:rsid w:val="002E01DC"/>
    <w:rsid w:val="002E0529"/>
    <w:rsid w:val="002E09E7"/>
    <w:rsid w:val="002E16A6"/>
    <w:rsid w:val="002E339B"/>
    <w:rsid w:val="002E356F"/>
    <w:rsid w:val="002E461E"/>
    <w:rsid w:val="002E4D42"/>
    <w:rsid w:val="002E6A63"/>
    <w:rsid w:val="002E7184"/>
    <w:rsid w:val="002E7FA9"/>
    <w:rsid w:val="002F0058"/>
    <w:rsid w:val="002F08E3"/>
    <w:rsid w:val="002F0B22"/>
    <w:rsid w:val="002F0C93"/>
    <w:rsid w:val="002F2049"/>
    <w:rsid w:val="002F22F1"/>
    <w:rsid w:val="002F3116"/>
    <w:rsid w:val="002F3DBF"/>
    <w:rsid w:val="002F4421"/>
    <w:rsid w:val="002F4C4C"/>
    <w:rsid w:val="002F4DAE"/>
    <w:rsid w:val="002F7012"/>
    <w:rsid w:val="002F7A58"/>
    <w:rsid w:val="002F7EB4"/>
    <w:rsid w:val="003000B0"/>
    <w:rsid w:val="00300A08"/>
    <w:rsid w:val="0030110C"/>
    <w:rsid w:val="00301197"/>
    <w:rsid w:val="0030154C"/>
    <w:rsid w:val="00302B2E"/>
    <w:rsid w:val="00302F1D"/>
    <w:rsid w:val="00303172"/>
    <w:rsid w:val="00303BCF"/>
    <w:rsid w:val="00303E67"/>
    <w:rsid w:val="003045FF"/>
    <w:rsid w:val="003049CA"/>
    <w:rsid w:val="0030748B"/>
    <w:rsid w:val="00307869"/>
    <w:rsid w:val="0030795E"/>
    <w:rsid w:val="00310407"/>
    <w:rsid w:val="00310FBF"/>
    <w:rsid w:val="0031145C"/>
    <w:rsid w:val="003115CC"/>
    <w:rsid w:val="00311A32"/>
    <w:rsid w:val="003137F6"/>
    <w:rsid w:val="00314320"/>
    <w:rsid w:val="00314789"/>
    <w:rsid w:val="00314A2A"/>
    <w:rsid w:val="003159E9"/>
    <w:rsid w:val="00315B67"/>
    <w:rsid w:val="00315CDB"/>
    <w:rsid w:val="00316673"/>
    <w:rsid w:val="00317B6E"/>
    <w:rsid w:val="0032046D"/>
    <w:rsid w:val="00320C4A"/>
    <w:rsid w:val="00320F23"/>
    <w:rsid w:val="00320F38"/>
    <w:rsid w:val="00320F9E"/>
    <w:rsid w:val="00321319"/>
    <w:rsid w:val="00323AE2"/>
    <w:rsid w:val="0032483A"/>
    <w:rsid w:val="0032484E"/>
    <w:rsid w:val="00326C17"/>
    <w:rsid w:val="00326C28"/>
    <w:rsid w:val="003275BD"/>
    <w:rsid w:val="0032786A"/>
    <w:rsid w:val="003301CD"/>
    <w:rsid w:val="003320AB"/>
    <w:rsid w:val="003324FC"/>
    <w:rsid w:val="00333174"/>
    <w:rsid w:val="00333202"/>
    <w:rsid w:val="003338E5"/>
    <w:rsid w:val="00336628"/>
    <w:rsid w:val="0033685F"/>
    <w:rsid w:val="00336BC9"/>
    <w:rsid w:val="00336DAB"/>
    <w:rsid w:val="003379B6"/>
    <w:rsid w:val="00340F43"/>
    <w:rsid w:val="00341078"/>
    <w:rsid w:val="003415A1"/>
    <w:rsid w:val="0034163F"/>
    <w:rsid w:val="00341BAE"/>
    <w:rsid w:val="00344595"/>
    <w:rsid w:val="00344FAC"/>
    <w:rsid w:val="0034641D"/>
    <w:rsid w:val="00346990"/>
    <w:rsid w:val="00346A8B"/>
    <w:rsid w:val="00346C0E"/>
    <w:rsid w:val="00346E9B"/>
    <w:rsid w:val="00347055"/>
    <w:rsid w:val="00347152"/>
    <w:rsid w:val="003477FA"/>
    <w:rsid w:val="00347A9A"/>
    <w:rsid w:val="00347D36"/>
    <w:rsid w:val="00350B78"/>
    <w:rsid w:val="00351B92"/>
    <w:rsid w:val="00351D13"/>
    <w:rsid w:val="00351ED4"/>
    <w:rsid w:val="00352C4D"/>
    <w:rsid w:val="003535D2"/>
    <w:rsid w:val="00353BF3"/>
    <w:rsid w:val="00354C68"/>
    <w:rsid w:val="00354EDA"/>
    <w:rsid w:val="00355F0B"/>
    <w:rsid w:val="00355FCC"/>
    <w:rsid w:val="00356E91"/>
    <w:rsid w:val="00357B55"/>
    <w:rsid w:val="00357C82"/>
    <w:rsid w:val="00360789"/>
    <w:rsid w:val="0036170A"/>
    <w:rsid w:val="0036275B"/>
    <w:rsid w:val="003627B4"/>
    <w:rsid w:val="0036301D"/>
    <w:rsid w:val="00363F76"/>
    <w:rsid w:val="00365B6A"/>
    <w:rsid w:val="00370835"/>
    <w:rsid w:val="00371881"/>
    <w:rsid w:val="00371994"/>
    <w:rsid w:val="00371B3D"/>
    <w:rsid w:val="00372241"/>
    <w:rsid w:val="003730D4"/>
    <w:rsid w:val="00373868"/>
    <w:rsid w:val="003748F6"/>
    <w:rsid w:val="003751CD"/>
    <w:rsid w:val="003753DD"/>
    <w:rsid w:val="003757B1"/>
    <w:rsid w:val="00375850"/>
    <w:rsid w:val="00375D5B"/>
    <w:rsid w:val="00375DEA"/>
    <w:rsid w:val="00376A5E"/>
    <w:rsid w:val="00376F25"/>
    <w:rsid w:val="003774CF"/>
    <w:rsid w:val="00377762"/>
    <w:rsid w:val="00377A2A"/>
    <w:rsid w:val="00377CE5"/>
    <w:rsid w:val="0038092C"/>
    <w:rsid w:val="00380A09"/>
    <w:rsid w:val="003818EA"/>
    <w:rsid w:val="003827DB"/>
    <w:rsid w:val="0038403C"/>
    <w:rsid w:val="0038412B"/>
    <w:rsid w:val="003852AB"/>
    <w:rsid w:val="00385E12"/>
    <w:rsid w:val="00385F71"/>
    <w:rsid w:val="00386151"/>
    <w:rsid w:val="00386B2F"/>
    <w:rsid w:val="00387115"/>
    <w:rsid w:val="00387D9C"/>
    <w:rsid w:val="00387DB5"/>
    <w:rsid w:val="00390105"/>
    <w:rsid w:val="00390372"/>
    <w:rsid w:val="003903E6"/>
    <w:rsid w:val="0039071A"/>
    <w:rsid w:val="00390B8C"/>
    <w:rsid w:val="0039223F"/>
    <w:rsid w:val="00392AEF"/>
    <w:rsid w:val="00393CE2"/>
    <w:rsid w:val="00393D87"/>
    <w:rsid w:val="003968C3"/>
    <w:rsid w:val="003A0230"/>
    <w:rsid w:val="003A0877"/>
    <w:rsid w:val="003A108C"/>
    <w:rsid w:val="003A1E96"/>
    <w:rsid w:val="003A29A7"/>
    <w:rsid w:val="003A37D8"/>
    <w:rsid w:val="003A389F"/>
    <w:rsid w:val="003A3B42"/>
    <w:rsid w:val="003A4256"/>
    <w:rsid w:val="003A55D6"/>
    <w:rsid w:val="003A61B4"/>
    <w:rsid w:val="003A6DC5"/>
    <w:rsid w:val="003A6F8C"/>
    <w:rsid w:val="003A71E7"/>
    <w:rsid w:val="003B0459"/>
    <w:rsid w:val="003B07AF"/>
    <w:rsid w:val="003B0980"/>
    <w:rsid w:val="003B1119"/>
    <w:rsid w:val="003B1385"/>
    <w:rsid w:val="003B1D43"/>
    <w:rsid w:val="003B1E18"/>
    <w:rsid w:val="003B24D9"/>
    <w:rsid w:val="003B293D"/>
    <w:rsid w:val="003B2BAF"/>
    <w:rsid w:val="003B3B88"/>
    <w:rsid w:val="003B5CE3"/>
    <w:rsid w:val="003B6CA9"/>
    <w:rsid w:val="003B6E42"/>
    <w:rsid w:val="003B72BA"/>
    <w:rsid w:val="003C2014"/>
    <w:rsid w:val="003C23CC"/>
    <w:rsid w:val="003C2F82"/>
    <w:rsid w:val="003C3213"/>
    <w:rsid w:val="003C3508"/>
    <w:rsid w:val="003C3985"/>
    <w:rsid w:val="003C3A70"/>
    <w:rsid w:val="003C4776"/>
    <w:rsid w:val="003C4810"/>
    <w:rsid w:val="003C5181"/>
    <w:rsid w:val="003C5214"/>
    <w:rsid w:val="003C53BE"/>
    <w:rsid w:val="003C548A"/>
    <w:rsid w:val="003C6218"/>
    <w:rsid w:val="003C6C48"/>
    <w:rsid w:val="003C6EF8"/>
    <w:rsid w:val="003C7B39"/>
    <w:rsid w:val="003C7C55"/>
    <w:rsid w:val="003C7E66"/>
    <w:rsid w:val="003D0020"/>
    <w:rsid w:val="003D0171"/>
    <w:rsid w:val="003D092C"/>
    <w:rsid w:val="003D128C"/>
    <w:rsid w:val="003D13B9"/>
    <w:rsid w:val="003D19F0"/>
    <w:rsid w:val="003D1BA4"/>
    <w:rsid w:val="003D2316"/>
    <w:rsid w:val="003D30B0"/>
    <w:rsid w:val="003D377D"/>
    <w:rsid w:val="003D3A1C"/>
    <w:rsid w:val="003D3CF5"/>
    <w:rsid w:val="003D4014"/>
    <w:rsid w:val="003D5139"/>
    <w:rsid w:val="003D7234"/>
    <w:rsid w:val="003D7511"/>
    <w:rsid w:val="003D79D4"/>
    <w:rsid w:val="003D7A4F"/>
    <w:rsid w:val="003E08C1"/>
    <w:rsid w:val="003E08E8"/>
    <w:rsid w:val="003E0CDB"/>
    <w:rsid w:val="003E157D"/>
    <w:rsid w:val="003E17B1"/>
    <w:rsid w:val="003E2D3A"/>
    <w:rsid w:val="003E2D9D"/>
    <w:rsid w:val="003E3CD2"/>
    <w:rsid w:val="003E4125"/>
    <w:rsid w:val="003E45BC"/>
    <w:rsid w:val="003E595E"/>
    <w:rsid w:val="003E6486"/>
    <w:rsid w:val="003E7642"/>
    <w:rsid w:val="003E787A"/>
    <w:rsid w:val="003E7910"/>
    <w:rsid w:val="003F0172"/>
    <w:rsid w:val="003F06B0"/>
    <w:rsid w:val="003F0A0B"/>
    <w:rsid w:val="003F0EB3"/>
    <w:rsid w:val="003F120F"/>
    <w:rsid w:val="003F1F0A"/>
    <w:rsid w:val="003F3386"/>
    <w:rsid w:val="003F4946"/>
    <w:rsid w:val="003F5642"/>
    <w:rsid w:val="003F5E36"/>
    <w:rsid w:val="003F67CB"/>
    <w:rsid w:val="003F6837"/>
    <w:rsid w:val="003F71E4"/>
    <w:rsid w:val="003F7371"/>
    <w:rsid w:val="003F789E"/>
    <w:rsid w:val="003F7AF3"/>
    <w:rsid w:val="00400666"/>
    <w:rsid w:val="00400EB2"/>
    <w:rsid w:val="00401525"/>
    <w:rsid w:val="004015FF"/>
    <w:rsid w:val="00401CD4"/>
    <w:rsid w:val="00401FD1"/>
    <w:rsid w:val="00402B85"/>
    <w:rsid w:val="00402E9B"/>
    <w:rsid w:val="00403E88"/>
    <w:rsid w:val="00405C71"/>
    <w:rsid w:val="00406307"/>
    <w:rsid w:val="00406C4B"/>
    <w:rsid w:val="00407AFF"/>
    <w:rsid w:val="00411A4F"/>
    <w:rsid w:val="004128E0"/>
    <w:rsid w:val="00413C9B"/>
    <w:rsid w:val="004151DA"/>
    <w:rsid w:val="00416D08"/>
    <w:rsid w:val="00417C06"/>
    <w:rsid w:val="00420659"/>
    <w:rsid w:val="00421156"/>
    <w:rsid w:val="004221EE"/>
    <w:rsid w:val="004223F8"/>
    <w:rsid w:val="004246E5"/>
    <w:rsid w:val="004249CC"/>
    <w:rsid w:val="00424D38"/>
    <w:rsid w:val="004251F6"/>
    <w:rsid w:val="00426181"/>
    <w:rsid w:val="00426680"/>
    <w:rsid w:val="00426B4A"/>
    <w:rsid w:val="00427099"/>
    <w:rsid w:val="00427BE8"/>
    <w:rsid w:val="004318F3"/>
    <w:rsid w:val="00431B46"/>
    <w:rsid w:val="00431FB3"/>
    <w:rsid w:val="004320A8"/>
    <w:rsid w:val="0043245C"/>
    <w:rsid w:val="00432948"/>
    <w:rsid w:val="00433250"/>
    <w:rsid w:val="004346CB"/>
    <w:rsid w:val="00435D71"/>
    <w:rsid w:val="004365D4"/>
    <w:rsid w:val="004367AF"/>
    <w:rsid w:val="00437604"/>
    <w:rsid w:val="00437F84"/>
    <w:rsid w:val="00440F42"/>
    <w:rsid w:val="004410F7"/>
    <w:rsid w:val="004418B3"/>
    <w:rsid w:val="004419D0"/>
    <w:rsid w:val="00441CD2"/>
    <w:rsid w:val="004423A9"/>
    <w:rsid w:val="00442643"/>
    <w:rsid w:val="00443AC4"/>
    <w:rsid w:val="00444713"/>
    <w:rsid w:val="0044496C"/>
    <w:rsid w:val="004458A3"/>
    <w:rsid w:val="00445AA5"/>
    <w:rsid w:val="004461C2"/>
    <w:rsid w:val="00446CAA"/>
    <w:rsid w:val="00450295"/>
    <w:rsid w:val="00450C6F"/>
    <w:rsid w:val="0045188A"/>
    <w:rsid w:val="004519FE"/>
    <w:rsid w:val="00451A16"/>
    <w:rsid w:val="00451CC4"/>
    <w:rsid w:val="00453164"/>
    <w:rsid w:val="00453924"/>
    <w:rsid w:val="00454644"/>
    <w:rsid w:val="00454851"/>
    <w:rsid w:val="00454B00"/>
    <w:rsid w:val="00454E4B"/>
    <w:rsid w:val="004551A0"/>
    <w:rsid w:val="00455C28"/>
    <w:rsid w:val="00456135"/>
    <w:rsid w:val="0045645F"/>
    <w:rsid w:val="00456F4C"/>
    <w:rsid w:val="00456FD6"/>
    <w:rsid w:val="00457245"/>
    <w:rsid w:val="004575A1"/>
    <w:rsid w:val="00457A73"/>
    <w:rsid w:val="00461A77"/>
    <w:rsid w:val="00463F33"/>
    <w:rsid w:val="004664A1"/>
    <w:rsid w:val="00467896"/>
    <w:rsid w:val="00467937"/>
    <w:rsid w:val="0047049A"/>
    <w:rsid w:val="00470C83"/>
    <w:rsid w:val="004710B8"/>
    <w:rsid w:val="0047121C"/>
    <w:rsid w:val="004713CF"/>
    <w:rsid w:val="00471449"/>
    <w:rsid w:val="00471787"/>
    <w:rsid w:val="004725A9"/>
    <w:rsid w:val="00472E42"/>
    <w:rsid w:val="00472F4B"/>
    <w:rsid w:val="004745CF"/>
    <w:rsid w:val="00474C67"/>
    <w:rsid w:val="00475E46"/>
    <w:rsid w:val="00476B24"/>
    <w:rsid w:val="0047780A"/>
    <w:rsid w:val="00477B1E"/>
    <w:rsid w:val="004820CF"/>
    <w:rsid w:val="004821C1"/>
    <w:rsid w:val="004828D4"/>
    <w:rsid w:val="00483955"/>
    <w:rsid w:val="00484B58"/>
    <w:rsid w:val="00485B61"/>
    <w:rsid w:val="00485B8D"/>
    <w:rsid w:val="004873C1"/>
    <w:rsid w:val="0048758F"/>
    <w:rsid w:val="00487914"/>
    <w:rsid w:val="00487B0E"/>
    <w:rsid w:val="00487C72"/>
    <w:rsid w:val="00490CD3"/>
    <w:rsid w:val="004910C9"/>
    <w:rsid w:val="0049190F"/>
    <w:rsid w:val="00491936"/>
    <w:rsid w:val="00491AD8"/>
    <w:rsid w:val="00492999"/>
    <w:rsid w:val="0049319A"/>
    <w:rsid w:val="00493EE9"/>
    <w:rsid w:val="00494386"/>
    <w:rsid w:val="004945A8"/>
    <w:rsid w:val="004949EF"/>
    <w:rsid w:val="00495A1D"/>
    <w:rsid w:val="00495BD0"/>
    <w:rsid w:val="0049609D"/>
    <w:rsid w:val="004964D2"/>
    <w:rsid w:val="004968F5"/>
    <w:rsid w:val="00496B8A"/>
    <w:rsid w:val="004A0028"/>
    <w:rsid w:val="004A0ADE"/>
    <w:rsid w:val="004A0EF6"/>
    <w:rsid w:val="004A1CBB"/>
    <w:rsid w:val="004A1DF6"/>
    <w:rsid w:val="004A3A1D"/>
    <w:rsid w:val="004A4592"/>
    <w:rsid w:val="004A49DB"/>
    <w:rsid w:val="004A4CBB"/>
    <w:rsid w:val="004A63C7"/>
    <w:rsid w:val="004A68AB"/>
    <w:rsid w:val="004A6E16"/>
    <w:rsid w:val="004A7697"/>
    <w:rsid w:val="004B00CD"/>
    <w:rsid w:val="004B2E14"/>
    <w:rsid w:val="004B36D3"/>
    <w:rsid w:val="004B4434"/>
    <w:rsid w:val="004B4AE3"/>
    <w:rsid w:val="004B5CBA"/>
    <w:rsid w:val="004B6067"/>
    <w:rsid w:val="004B72BC"/>
    <w:rsid w:val="004B74D1"/>
    <w:rsid w:val="004B776B"/>
    <w:rsid w:val="004C0876"/>
    <w:rsid w:val="004C11EE"/>
    <w:rsid w:val="004C1304"/>
    <w:rsid w:val="004C1603"/>
    <w:rsid w:val="004C25C5"/>
    <w:rsid w:val="004C3070"/>
    <w:rsid w:val="004C3C06"/>
    <w:rsid w:val="004C3CF0"/>
    <w:rsid w:val="004C3E63"/>
    <w:rsid w:val="004C418E"/>
    <w:rsid w:val="004C4DF9"/>
    <w:rsid w:val="004C537B"/>
    <w:rsid w:val="004C5DA6"/>
    <w:rsid w:val="004C6117"/>
    <w:rsid w:val="004C6895"/>
    <w:rsid w:val="004C6D0F"/>
    <w:rsid w:val="004C747C"/>
    <w:rsid w:val="004D0620"/>
    <w:rsid w:val="004D16F9"/>
    <w:rsid w:val="004D1DDC"/>
    <w:rsid w:val="004D36DC"/>
    <w:rsid w:val="004D43B6"/>
    <w:rsid w:val="004D4796"/>
    <w:rsid w:val="004D4D48"/>
    <w:rsid w:val="004D4E73"/>
    <w:rsid w:val="004D4F6B"/>
    <w:rsid w:val="004D796A"/>
    <w:rsid w:val="004D7FE2"/>
    <w:rsid w:val="004E0C79"/>
    <w:rsid w:val="004E0C8D"/>
    <w:rsid w:val="004E14FC"/>
    <w:rsid w:val="004E151E"/>
    <w:rsid w:val="004E172D"/>
    <w:rsid w:val="004E2E58"/>
    <w:rsid w:val="004E35BA"/>
    <w:rsid w:val="004E3A01"/>
    <w:rsid w:val="004E40E8"/>
    <w:rsid w:val="004E4425"/>
    <w:rsid w:val="004E5247"/>
    <w:rsid w:val="004E5806"/>
    <w:rsid w:val="004E6ADD"/>
    <w:rsid w:val="004E6FB5"/>
    <w:rsid w:val="004F012F"/>
    <w:rsid w:val="004F033C"/>
    <w:rsid w:val="004F0443"/>
    <w:rsid w:val="004F04CE"/>
    <w:rsid w:val="004F04D1"/>
    <w:rsid w:val="004F05BA"/>
    <w:rsid w:val="004F0874"/>
    <w:rsid w:val="004F10D9"/>
    <w:rsid w:val="004F11AF"/>
    <w:rsid w:val="004F13EE"/>
    <w:rsid w:val="004F1836"/>
    <w:rsid w:val="004F235F"/>
    <w:rsid w:val="004F23CB"/>
    <w:rsid w:val="004F2576"/>
    <w:rsid w:val="004F3719"/>
    <w:rsid w:val="004F3A81"/>
    <w:rsid w:val="004F44AA"/>
    <w:rsid w:val="004F4AF5"/>
    <w:rsid w:val="004F7492"/>
    <w:rsid w:val="004F7692"/>
    <w:rsid w:val="004F78FD"/>
    <w:rsid w:val="00500DA7"/>
    <w:rsid w:val="00500EB9"/>
    <w:rsid w:val="005029FB"/>
    <w:rsid w:val="00502F1E"/>
    <w:rsid w:val="005033F8"/>
    <w:rsid w:val="0050614A"/>
    <w:rsid w:val="00506910"/>
    <w:rsid w:val="00506FCB"/>
    <w:rsid w:val="0051009A"/>
    <w:rsid w:val="00510CDA"/>
    <w:rsid w:val="00510FCC"/>
    <w:rsid w:val="00511399"/>
    <w:rsid w:val="00511E42"/>
    <w:rsid w:val="00515207"/>
    <w:rsid w:val="0051542C"/>
    <w:rsid w:val="00515E57"/>
    <w:rsid w:val="00515F43"/>
    <w:rsid w:val="00516233"/>
    <w:rsid w:val="00516548"/>
    <w:rsid w:val="005168DA"/>
    <w:rsid w:val="00517C0D"/>
    <w:rsid w:val="005227AF"/>
    <w:rsid w:val="00522884"/>
    <w:rsid w:val="00522995"/>
    <w:rsid w:val="00522BAE"/>
    <w:rsid w:val="0052349C"/>
    <w:rsid w:val="00525CA8"/>
    <w:rsid w:val="005268FE"/>
    <w:rsid w:val="00530D18"/>
    <w:rsid w:val="00530F96"/>
    <w:rsid w:val="00531585"/>
    <w:rsid w:val="005325C5"/>
    <w:rsid w:val="0053308E"/>
    <w:rsid w:val="00533C43"/>
    <w:rsid w:val="005343A9"/>
    <w:rsid w:val="00534C56"/>
    <w:rsid w:val="00534C87"/>
    <w:rsid w:val="00534E84"/>
    <w:rsid w:val="005355F8"/>
    <w:rsid w:val="00535F9A"/>
    <w:rsid w:val="00536686"/>
    <w:rsid w:val="0053764B"/>
    <w:rsid w:val="00537C91"/>
    <w:rsid w:val="0054044D"/>
    <w:rsid w:val="00540487"/>
    <w:rsid w:val="00540FB4"/>
    <w:rsid w:val="00541F2A"/>
    <w:rsid w:val="00542DA3"/>
    <w:rsid w:val="00542F23"/>
    <w:rsid w:val="00543B8C"/>
    <w:rsid w:val="00543E06"/>
    <w:rsid w:val="005449FC"/>
    <w:rsid w:val="00544A8D"/>
    <w:rsid w:val="00544CD7"/>
    <w:rsid w:val="00544D05"/>
    <w:rsid w:val="00544EFA"/>
    <w:rsid w:val="005450D7"/>
    <w:rsid w:val="00550972"/>
    <w:rsid w:val="00550C8C"/>
    <w:rsid w:val="00550D07"/>
    <w:rsid w:val="00552637"/>
    <w:rsid w:val="00552879"/>
    <w:rsid w:val="00553231"/>
    <w:rsid w:val="00553F5A"/>
    <w:rsid w:val="005545F5"/>
    <w:rsid w:val="00554D8F"/>
    <w:rsid w:val="00554F82"/>
    <w:rsid w:val="00555B28"/>
    <w:rsid w:val="00556407"/>
    <w:rsid w:val="00556555"/>
    <w:rsid w:val="00557684"/>
    <w:rsid w:val="00557936"/>
    <w:rsid w:val="005600C3"/>
    <w:rsid w:val="00560281"/>
    <w:rsid w:val="00560DF7"/>
    <w:rsid w:val="00561C43"/>
    <w:rsid w:val="005621D7"/>
    <w:rsid w:val="0056220A"/>
    <w:rsid w:val="005622D0"/>
    <w:rsid w:val="00562A6C"/>
    <w:rsid w:val="00565960"/>
    <w:rsid w:val="00566FB1"/>
    <w:rsid w:val="0057011C"/>
    <w:rsid w:val="00570378"/>
    <w:rsid w:val="0057094C"/>
    <w:rsid w:val="00570BD2"/>
    <w:rsid w:val="00570E79"/>
    <w:rsid w:val="00571B05"/>
    <w:rsid w:val="005729AF"/>
    <w:rsid w:val="005735DF"/>
    <w:rsid w:val="005739C2"/>
    <w:rsid w:val="00573F0F"/>
    <w:rsid w:val="00575274"/>
    <w:rsid w:val="00575973"/>
    <w:rsid w:val="00575E95"/>
    <w:rsid w:val="005769E9"/>
    <w:rsid w:val="00576ADE"/>
    <w:rsid w:val="005778D1"/>
    <w:rsid w:val="00577EA2"/>
    <w:rsid w:val="00577FF7"/>
    <w:rsid w:val="00580010"/>
    <w:rsid w:val="005804D4"/>
    <w:rsid w:val="00580D84"/>
    <w:rsid w:val="00580F2E"/>
    <w:rsid w:val="0058120C"/>
    <w:rsid w:val="005826B0"/>
    <w:rsid w:val="0058356D"/>
    <w:rsid w:val="005842F8"/>
    <w:rsid w:val="005844D6"/>
    <w:rsid w:val="0058465D"/>
    <w:rsid w:val="00585561"/>
    <w:rsid w:val="005860DB"/>
    <w:rsid w:val="005860F7"/>
    <w:rsid w:val="005865F8"/>
    <w:rsid w:val="00586BCA"/>
    <w:rsid w:val="005875C4"/>
    <w:rsid w:val="00587E47"/>
    <w:rsid w:val="0059042B"/>
    <w:rsid w:val="00590451"/>
    <w:rsid w:val="00591CAD"/>
    <w:rsid w:val="00591E08"/>
    <w:rsid w:val="005921DA"/>
    <w:rsid w:val="00592C2E"/>
    <w:rsid w:val="00592CF3"/>
    <w:rsid w:val="00595EBD"/>
    <w:rsid w:val="00596CE0"/>
    <w:rsid w:val="0059769E"/>
    <w:rsid w:val="005A0ADF"/>
    <w:rsid w:val="005A13ED"/>
    <w:rsid w:val="005A165D"/>
    <w:rsid w:val="005A1706"/>
    <w:rsid w:val="005A19F7"/>
    <w:rsid w:val="005A2B29"/>
    <w:rsid w:val="005A2FD5"/>
    <w:rsid w:val="005A32D8"/>
    <w:rsid w:val="005A471F"/>
    <w:rsid w:val="005A488E"/>
    <w:rsid w:val="005A4996"/>
    <w:rsid w:val="005A4AAA"/>
    <w:rsid w:val="005A61C6"/>
    <w:rsid w:val="005A61ED"/>
    <w:rsid w:val="005A6640"/>
    <w:rsid w:val="005A6811"/>
    <w:rsid w:val="005A7EE3"/>
    <w:rsid w:val="005A7EED"/>
    <w:rsid w:val="005B05A5"/>
    <w:rsid w:val="005B0A96"/>
    <w:rsid w:val="005B0A9E"/>
    <w:rsid w:val="005B0D7E"/>
    <w:rsid w:val="005B1104"/>
    <w:rsid w:val="005B15D6"/>
    <w:rsid w:val="005B190C"/>
    <w:rsid w:val="005B1FC4"/>
    <w:rsid w:val="005B2326"/>
    <w:rsid w:val="005B29CA"/>
    <w:rsid w:val="005B31E4"/>
    <w:rsid w:val="005B3B7A"/>
    <w:rsid w:val="005B4AB4"/>
    <w:rsid w:val="005B4BE1"/>
    <w:rsid w:val="005B7527"/>
    <w:rsid w:val="005B7682"/>
    <w:rsid w:val="005B7783"/>
    <w:rsid w:val="005B7DE9"/>
    <w:rsid w:val="005C0008"/>
    <w:rsid w:val="005C0ECC"/>
    <w:rsid w:val="005C1762"/>
    <w:rsid w:val="005C2225"/>
    <w:rsid w:val="005C302A"/>
    <w:rsid w:val="005C3FB2"/>
    <w:rsid w:val="005C47C6"/>
    <w:rsid w:val="005C4A42"/>
    <w:rsid w:val="005C4EAA"/>
    <w:rsid w:val="005C54E0"/>
    <w:rsid w:val="005C589E"/>
    <w:rsid w:val="005C617D"/>
    <w:rsid w:val="005C68E6"/>
    <w:rsid w:val="005C717F"/>
    <w:rsid w:val="005D0E30"/>
    <w:rsid w:val="005D12C6"/>
    <w:rsid w:val="005D158A"/>
    <w:rsid w:val="005D1EE5"/>
    <w:rsid w:val="005D1F8D"/>
    <w:rsid w:val="005D333E"/>
    <w:rsid w:val="005D3E46"/>
    <w:rsid w:val="005D409E"/>
    <w:rsid w:val="005D4AD3"/>
    <w:rsid w:val="005D597D"/>
    <w:rsid w:val="005D6633"/>
    <w:rsid w:val="005D7A2E"/>
    <w:rsid w:val="005E067C"/>
    <w:rsid w:val="005E0945"/>
    <w:rsid w:val="005E0B5D"/>
    <w:rsid w:val="005E18E8"/>
    <w:rsid w:val="005E1A62"/>
    <w:rsid w:val="005E2352"/>
    <w:rsid w:val="005E2D10"/>
    <w:rsid w:val="005E2E8B"/>
    <w:rsid w:val="005E3F88"/>
    <w:rsid w:val="005E4E8F"/>
    <w:rsid w:val="005E6210"/>
    <w:rsid w:val="005E670F"/>
    <w:rsid w:val="005E6FD8"/>
    <w:rsid w:val="005E7357"/>
    <w:rsid w:val="005E7433"/>
    <w:rsid w:val="005E7510"/>
    <w:rsid w:val="005E7E72"/>
    <w:rsid w:val="005F0564"/>
    <w:rsid w:val="005F11FC"/>
    <w:rsid w:val="005F13DF"/>
    <w:rsid w:val="005F1B42"/>
    <w:rsid w:val="005F2331"/>
    <w:rsid w:val="005F2CB8"/>
    <w:rsid w:val="005F303B"/>
    <w:rsid w:val="005F33FF"/>
    <w:rsid w:val="005F3B23"/>
    <w:rsid w:val="005F46B2"/>
    <w:rsid w:val="005F4B1A"/>
    <w:rsid w:val="005F4BE5"/>
    <w:rsid w:val="005F5D0A"/>
    <w:rsid w:val="005F6744"/>
    <w:rsid w:val="005F72A0"/>
    <w:rsid w:val="005F7C27"/>
    <w:rsid w:val="005F7E6F"/>
    <w:rsid w:val="006002DF"/>
    <w:rsid w:val="00600A65"/>
    <w:rsid w:val="00600B1E"/>
    <w:rsid w:val="00600E75"/>
    <w:rsid w:val="0060174B"/>
    <w:rsid w:val="0060211C"/>
    <w:rsid w:val="006024A9"/>
    <w:rsid w:val="00602FC6"/>
    <w:rsid w:val="006031AD"/>
    <w:rsid w:val="0060325A"/>
    <w:rsid w:val="0060360D"/>
    <w:rsid w:val="00603643"/>
    <w:rsid w:val="00603676"/>
    <w:rsid w:val="00603809"/>
    <w:rsid w:val="00605737"/>
    <w:rsid w:val="00605A95"/>
    <w:rsid w:val="00605DC4"/>
    <w:rsid w:val="006067EE"/>
    <w:rsid w:val="00607298"/>
    <w:rsid w:val="006073B2"/>
    <w:rsid w:val="00607AFD"/>
    <w:rsid w:val="00607E58"/>
    <w:rsid w:val="00607F79"/>
    <w:rsid w:val="00610555"/>
    <w:rsid w:val="00610E27"/>
    <w:rsid w:val="00610EF5"/>
    <w:rsid w:val="0061118C"/>
    <w:rsid w:val="00612667"/>
    <w:rsid w:val="0061279A"/>
    <w:rsid w:val="00612D8B"/>
    <w:rsid w:val="006130EE"/>
    <w:rsid w:val="00613ADD"/>
    <w:rsid w:val="00614107"/>
    <w:rsid w:val="00614659"/>
    <w:rsid w:val="0061573E"/>
    <w:rsid w:val="006161F1"/>
    <w:rsid w:val="00616DDB"/>
    <w:rsid w:val="00616FEA"/>
    <w:rsid w:val="00617BB8"/>
    <w:rsid w:val="006206E7"/>
    <w:rsid w:val="00621522"/>
    <w:rsid w:val="00621F81"/>
    <w:rsid w:val="0062240B"/>
    <w:rsid w:val="00622585"/>
    <w:rsid w:val="00622839"/>
    <w:rsid w:val="00623A4C"/>
    <w:rsid w:val="006252EE"/>
    <w:rsid w:val="006253B1"/>
    <w:rsid w:val="00625695"/>
    <w:rsid w:val="0062763B"/>
    <w:rsid w:val="006312D7"/>
    <w:rsid w:val="00631912"/>
    <w:rsid w:val="00631E05"/>
    <w:rsid w:val="006323C1"/>
    <w:rsid w:val="00633FBB"/>
    <w:rsid w:val="00634E0A"/>
    <w:rsid w:val="006357D6"/>
    <w:rsid w:val="00636FCA"/>
    <w:rsid w:val="00637700"/>
    <w:rsid w:val="00637B9E"/>
    <w:rsid w:val="0064004C"/>
    <w:rsid w:val="006400EC"/>
    <w:rsid w:val="0064036B"/>
    <w:rsid w:val="00640A58"/>
    <w:rsid w:val="00641972"/>
    <w:rsid w:val="006422F9"/>
    <w:rsid w:val="00643391"/>
    <w:rsid w:val="00643873"/>
    <w:rsid w:val="006440D0"/>
    <w:rsid w:val="0064426C"/>
    <w:rsid w:val="006443CC"/>
    <w:rsid w:val="0064470B"/>
    <w:rsid w:val="006449E7"/>
    <w:rsid w:val="00644A46"/>
    <w:rsid w:val="00644D50"/>
    <w:rsid w:val="006451AF"/>
    <w:rsid w:val="00646C60"/>
    <w:rsid w:val="00646D7F"/>
    <w:rsid w:val="00647610"/>
    <w:rsid w:val="006512CB"/>
    <w:rsid w:val="00651548"/>
    <w:rsid w:val="006529CC"/>
    <w:rsid w:val="0065306B"/>
    <w:rsid w:val="00653428"/>
    <w:rsid w:val="006548F3"/>
    <w:rsid w:val="00654BDE"/>
    <w:rsid w:val="00655919"/>
    <w:rsid w:val="00655EF2"/>
    <w:rsid w:val="00657056"/>
    <w:rsid w:val="00657E34"/>
    <w:rsid w:val="006600CF"/>
    <w:rsid w:val="006619F1"/>
    <w:rsid w:val="00662E9E"/>
    <w:rsid w:val="00663C66"/>
    <w:rsid w:val="006650D9"/>
    <w:rsid w:val="006658E1"/>
    <w:rsid w:val="00666CDE"/>
    <w:rsid w:val="00666F79"/>
    <w:rsid w:val="00667C5F"/>
    <w:rsid w:val="00667EE1"/>
    <w:rsid w:val="006703AB"/>
    <w:rsid w:val="00670B65"/>
    <w:rsid w:val="006718D9"/>
    <w:rsid w:val="00672C19"/>
    <w:rsid w:val="00673239"/>
    <w:rsid w:val="00673F74"/>
    <w:rsid w:val="00674F87"/>
    <w:rsid w:val="0067540B"/>
    <w:rsid w:val="00675779"/>
    <w:rsid w:val="00675EFE"/>
    <w:rsid w:val="0067639F"/>
    <w:rsid w:val="00676AFC"/>
    <w:rsid w:val="0067785C"/>
    <w:rsid w:val="006808E2"/>
    <w:rsid w:val="00680E23"/>
    <w:rsid w:val="006811AA"/>
    <w:rsid w:val="00682AF5"/>
    <w:rsid w:val="00682C2B"/>
    <w:rsid w:val="006830C7"/>
    <w:rsid w:val="006833E5"/>
    <w:rsid w:val="00683881"/>
    <w:rsid w:val="00683D9D"/>
    <w:rsid w:val="00684C35"/>
    <w:rsid w:val="00684EA5"/>
    <w:rsid w:val="00684F54"/>
    <w:rsid w:val="00685ABC"/>
    <w:rsid w:val="00685D95"/>
    <w:rsid w:val="00690013"/>
    <w:rsid w:val="0069045F"/>
    <w:rsid w:val="0069075D"/>
    <w:rsid w:val="006907C6"/>
    <w:rsid w:val="00691291"/>
    <w:rsid w:val="006922BD"/>
    <w:rsid w:val="006922F8"/>
    <w:rsid w:val="00692574"/>
    <w:rsid w:val="00692F73"/>
    <w:rsid w:val="00693089"/>
    <w:rsid w:val="006933EC"/>
    <w:rsid w:val="006945F7"/>
    <w:rsid w:val="00694884"/>
    <w:rsid w:val="00695F81"/>
    <w:rsid w:val="006964A2"/>
    <w:rsid w:val="00696FCB"/>
    <w:rsid w:val="00697145"/>
    <w:rsid w:val="00697760"/>
    <w:rsid w:val="00697E3A"/>
    <w:rsid w:val="006A143F"/>
    <w:rsid w:val="006A173C"/>
    <w:rsid w:val="006A208C"/>
    <w:rsid w:val="006A2D65"/>
    <w:rsid w:val="006A2D66"/>
    <w:rsid w:val="006A389F"/>
    <w:rsid w:val="006A3A0A"/>
    <w:rsid w:val="006A3B1C"/>
    <w:rsid w:val="006A46FD"/>
    <w:rsid w:val="006A4CEE"/>
    <w:rsid w:val="006A555A"/>
    <w:rsid w:val="006A69A9"/>
    <w:rsid w:val="006A7181"/>
    <w:rsid w:val="006A726C"/>
    <w:rsid w:val="006A7B5A"/>
    <w:rsid w:val="006B009F"/>
    <w:rsid w:val="006B04E5"/>
    <w:rsid w:val="006B1B88"/>
    <w:rsid w:val="006B1E85"/>
    <w:rsid w:val="006B1EA0"/>
    <w:rsid w:val="006B20C7"/>
    <w:rsid w:val="006B2173"/>
    <w:rsid w:val="006B22E0"/>
    <w:rsid w:val="006B3A2E"/>
    <w:rsid w:val="006B4D7D"/>
    <w:rsid w:val="006B5EFC"/>
    <w:rsid w:val="006B7D86"/>
    <w:rsid w:val="006C00B1"/>
    <w:rsid w:val="006C099A"/>
    <w:rsid w:val="006C180B"/>
    <w:rsid w:val="006C2335"/>
    <w:rsid w:val="006C2B22"/>
    <w:rsid w:val="006C3750"/>
    <w:rsid w:val="006C4813"/>
    <w:rsid w:val="006C49F8"/>
    <w:rsid w:val="006C5440"/>
    <w:rsid w:val="006C5713"/>
    <w:rsid w:val="006C743F"/>
    <w:rsid w:val="006D0233"/>
    <w:rsid w:val="006D0A6A"/>
    <w:rsid w:val="006D17CC"/>
    <w:rsid w:val="006D2201"/>
    <w:rsid w:val="006D22AD"/>
    <w:rsid w:val="006D2847"/>
    <w:rsid w:val="006D2F39"/>
    <w:rsid w:val="006D3CC2"/>
    <w:rsid w:val="006D41D5"/>
    <w:rsid w:val="006D4977"/>
    <w:rsid w:val="006D51DD"/>
    <w:rsid w:val="006D5B41"/>
    <w:rsid w:val="006D5B96"/>
    <w:rsid w:val="006D61DB"/>
    <w:rsid w:val="006D691C"/>
    <w:rsid w:val="006D75AD"/>
    <w:rsid w:val="006D7B41"/>
    <w:rsid w:val="006D7B51"/>
    <w:rsid w:val="006E03B3"/>
    <w:rsid w:val="006E1820"/>
    <w:rsid w:val="006E1918"/>
    <w:rsid w:val="006E19A4"/>
    <w:rsid w:val="006E271A"/>
    <w:rsid w:val="006E3816"/>
    <w:rsid w:val="006E3957"/>
    <w:rsid w:val="006E3C51"/>
    <w:rsid w:val="006E4965"/>
    <w:rsid w:val="006E4FBF"/>
    <w:rsid w:val="006E6139"/>
    <w:rsid w:val="006F041D"/>
    <w:rsid w:val="006F08A1"/>
    <w:rsid w:val="006F0B50"/>
    <w:rsid w:val="006F0C3F"/>
    <w:rsid w:val="006F0F71"/>
    <w:rsid w:val="006F3A09"/>
    <w:rsid w:val="006F3FEA"/>
    <w:rsid w:val="006F42FA"/>
    <w:rsid w:val="006F50B2"/>
    <w:rsid w:val="006F703C"/>
    <w:rsid w:val="006F721F"/>
    <w:rsid w:val="006F77B8"/>
    <w:rsid w:val="006F7AA4"/>
    <w:rsid w:val="0070027B"/>
    <w:rsid w:val="0070121B"/>
    <w:rsid w:val="00701C67"/>
    <w:rsid w:val="00701EE1"/>
    <w:rsid w:val="007029D2"/>
    <w:rsid w:val="00703413"/>
    <w:rsid w:val="00703B0B"/>
    <w:rsid w:val="00703B16"/>
    <w:rsid w:val="00704085"/>
    <w:rsid w:val="007043A9"/>
    <w:rsid w:val="00704F40"/>
    <w:rsid w:val="0070582B"/>
    <w:rsid w:val="007067A2"/>
    <w:rsid w:val="00706B56"/>
    <w:rsid w:val="00706E7C"/>
    <w:rsid w:val="00710551"/>
    <w:rsid w:val="007110E6"/>
    <w:rsid w:val="007111F0"/>
    <w:rsid w:val="007113E4"/>
    <w:rsid w:val="00712762"/>
    <w:rsid w:val="0071297D"/>
    <w:rsid w:val="00713807"/>
    <w:rsid w:val="00713C4A"/>
    <w:rsid w:val="00714178"/>
    <w:rsid w:val="00714208"/>
    <w:rsid w:val="00714D86"/>
    <w:rsid w:val="007153C4"/>
    <w:rsid w:val="0071560D"/>
    <w:rsid w:val="00715788"/>
    <w:rsid w:val="00716D73"/>
    <w:rsid w:val="007175BA"/>
    <w:rsid w:val="007203B2"/>
    <w:rsid w:val="00720DFA"/>
    <w:rsid w:val="00721785"/>
    <w:rsid w:val="00721FE6"/>
    <w:rsid w:val="00723278"/>
    <w:rsid w:val="0072413E"/>
    <w:rsid w:val="00724CB5"/>
    <w:rsid w:val="00724F56"/>
    <w:rsid w:val="00725598"/>
    <w:rsid w:val="00725AC5"/>
    <w:rsid w:val="00726190"/>
    <w:rsid w:val="00727682"/>
    <w:rsid w:val="00730220"/>
    <w:rsid w:val="00730A5B"/>
    <w:rsid w:val="00730E81"/>
    <w:rsid w:val="00731F30"/>
    <w:rsid w:val="00732136"/>
    <w:rsid w:val="0073238B"/>
    <w:rsid w:val="007328C6"/>
    <w:rsid w:val="0073316F"/>
    <w:rsid w:val="007333E9"/>
    <w:rsid w:val="00733BE6"/>
    <w:rsid w:val="00734E89"/>
    <w:rsid w:val="00735150"/>
    <w:rsid w:val="0073515F"/>
    <w:rsid w:val="00735CEB"/>
    <w:rsid w:val="00736142"/>
    <w:rsid w:val="00737E8E"/>
    <w:rsid w:val="00740172"/>
    <w:rsid w:val="007404EA"/>
    <w:rsid w:val="00740589"/>
    <w:rsid w:val="007407F7"/>
    <w:rsid w:val="00740F77"/>
    <w:rsid w:val="0074186C"/>
    <w:rsid w:val="00741B3E"/>
    <w:rsid w:val="00742324"/>
    <w:rsid w:val="0074232C"/>
    <w:rsid w:val="007434B4"/>
    <w:rsid w:val="00743CB5"/>
    <w:rsid w:val="007443C2"/>
    <w:rsid w:val="00744BF6"/>
    <w:rsid w:val="00744C75"/>
    <w:rsid w:val="00744EEA"/>
    <w:rsid w:val="007455F1"/>
    <w:rsid w:val="00745923"/>
    <w:rsid w:val="00745F8C"/>
    <w:rsid w:val="00746621"/>
    <w:rsid w:val="00746789"/>
    <w:rsid w:val="00747D38"/>
    <w:rsid w:val="00750167"/>
    <w:rsid w:val="00750327"/>
    <w:rsid w:val="00750861"/>
    <w:rsid w:val="00750FB4"/>
    <w:rsid w:val="00751464"/>
    <w:rsid w:val="00752180"/>
    <w:rsid w:val="007525F5"/>
    <w:rsid w:val="00752A22"/>
    <w:rsid w:val="00752EC4"/>
    <w:rsid w:val="00755912"/>
    <w:rsid w:val="00755D36"/>
    <w:rsid w:val="00755D8E"/>
    <w:rsid w:val="00755E7E"/>
    <w:rsid w:val="00756A6D"/>
    <w:rsid w:val="007579D9"/>
    <w:rsid w:val="00760C25"/>
    <w:rsid w:val="0076150F"/>
    <w:rsid w:val="00762DBA"/>
    <w:rsid w:val="00762FFA"/>
    <w:rsid w:val="00763BD1"/>
    <w:rsid w:val="00764288"/>
    <w:rsid w:val="00764CBA"/>
    <w:rsid w:val="00765306"/>
    <w:rsid w:val="0076550E"/>
    <w:rsid w:val="0076575D"/>
    <w:rsid w:val="00765897"/>
    <w:rsid w:val="00765C14"/>
    <w:rsid w:val="00766535"/>
    <w:rsid w:val="007669D0"/>
    <w:rsid w:val="0076717A"/>
    <w:rsid w:val="007671AC"/>
    <w:rsid w:val="007673D2"/>
    <w:rsid w:val="00767585"/>
    <w:rsid w:val="00767F06"/>
    <w:rsid w:val="007701C2"/>
    <w:rsid w:val="0077045A"/>
    <w:rsid w:val="00770775"/>
    <w:rsid w:val="007707E2"/>
    <w:rsid w:val="00771104"/>
    <w:rsid w:val="007716EB"/>
    <w:rsid w:val="0077302C"/>
    <w:rsid w:val="00773903"/>
    <w:rsid w:val="00773B7F"/>
    <w:rsid w:val="007743FF"/>
    <w:rsid w:val="00774810"/>
    <w:rsid w:val="00774A09"/>
    <w:rsid w:val="0077777A"/>
    <w:rsid w:val="00780C28"/>
    <w:rsid w:val="0078105E"/>
    <w:rsid w:val="00781D59"/>
    <w:rsid w:val="00782678"/>
    <w:rsid w:val="00782A82"/>
    <w:rsid w:val="00784272"/>
    <w:rsid w:val="00784364"/>
    <w:rsid w:val="00784CF2"/>
    <w:rsid w:val="00784E99"/>
    <w:rsid w:val="00785AD8"/>
    <w:rsid w:val="007869F9"/>
    <w:rsid w:val="00787B05"/>
    <w:rsid w:val="00790055"/>
    <w:rsid w:val="007902AC"/>
    <w:rsid w:val="007908B4"/>
    <w:rsid w:val="00790E59"/>
    <w:rsid w:val="00790EDC"/>
    <w:rsid w:val="0079131B"/>
    <w:rsid w:val="0079166E"/>
    <w:rsid w:val="0079179D"/>
    <w:rsid w:val="00791EA5"/>
    <w:rsid w:val="007937C1"/>
    <w:rsid w:val="0079388D"/>
    <w:rsid w:val="00795F9F"/>
    <w:rsid w:val="00796723"/>
    <w:rsid w:val="00796A9F"/>
    <w:rsid w:val="00796F06"/>
    <w:rsid w:val="00796FE6"/>
    <w:rsid w:val="007972C7"/>
    <w:rsid w:val="00797966"/>
    <w:rsid w:val="007A00B2"/>
    <w:rsid w:val="007A0268"/>
    <w:rsid w:val="007A0417"/>
    <w:rsid w:val="007A0A35"/>
    <w:rsid w:val="007A0B67"/>
    <w:rsid w:val="007A0C90"/>
    <w:rsid w:val="007A0D89"/>
    <w:rsid w:val="007A1E4B"/>
    <w:rsid w:val="007A261F"/>
    <w:rsid w:val="007A2810"/>
    <w:rsid w:val="007A365A"/>
    <w:rsid w:val="007A3A53"/>
    <w:rsid w:val="007A4074"/>
    <w:rsid w:val="007A41CE"/>
    <w:rsid w:val="007A535C"/>
    <w:rsid w:val="007A58EA"/>
    <w:rsid w:val="007A6538"/>
    <w:rsid w:val="007A6919"/>
    <w:rsid w:val="007A6C93"/>
    <w:rsid w:val="007A7185"/>
    <w:rsid w:val="007B123C"/>
    <w:rsid w:val="007B155E"/>
    <w:rsid w:val="007B1897"/>
    <w:rsid w:val="007B1967"/>
    <w:rsid w:val="007B2DC0"/>
    <w:rsid w:val="007B30ED"/>
    <w:rsid w:val="007B3242"/>
    <w:rsid w:val="007B3264"/>
    <w:rsid w:val="007B3824"/>
    <w:rsid w:val="007B3AD5"/>
    <w:rsid w:val="007B47A6"/>
    <w:rsid w:val="007B5A65"/>
    <w:rsid w:val="007B6BA9"/>
    <w:rsid w:val="007B7BBE"/>
    <w:rsid w:val="007C0083"/>
    <w:rsid w:val="007C0110"/>
    <w:rsid w:val="007C0292"/>
    <w:rsid w:val="007C0764"/>
    <w:rsid w:val="007C0CAE"/>
    <w:rsid w:val="007C29AB"/>
    <w:rsid w:val="007C29ED"/>
    <w:rsid w:val="007C341B"/>
    <w:rsid w:val="007C39D1"/>
    <w:rsid w:val="007C4771"/>
    <w:rsid w:val="007C479A"/>
    <w:rsid w:val="007C47AE"/>
    <w:rsid w:val="007C4A79"/>
    <w:rsid w:val="007C4B85"/>
    <w:rsid w:val="007C4B90"/>
    <w:rsid w:val="007C5163"/>
    <w:rsid w:val="007C6DCF"/>
    <w:rsid w:val="007C7F1E"/>
    <w:rsid w:val="007D0599"/>
    <w:rsid w:val="007D1417"/>
    <w:rsid w:val="007D1849"/>
    <w:rsid w:val="007D20D9"/>
    <w:rsid w:val="007D22D3"/>
    <w:rsid w:val="007D2A2A"/>
    <w:rsid w:val="007D2C61"/>
    <w:rsid w:val="007D2F84"/>
    <w:rsid w:val="007D3445"/>
    <w:rsid w:val="007D3D23"/>
    <w:rsid w:val="007D46AB"/>
    <w:rsid w:val="007D4B4C"/>
    <w:rsid w:val="007D70BB"/>
    <w:rsid w:val="007D7153"/>
    <w:rsid w:val="007D7421"/>
    <w:rsid w:val="007E033D"/>
    <w:rsid w:val="007E08FA"/>
    <w:rsid w:val="007E15C6"/>
    <w:rsid w:val="007E1621"/>
    <w:rsid w:val="007E172F"/>
    <w:rsid w:val="007E1ED1"/>
    <w:rsid w:val="007E2951"/>
    <w:rsid w:val="007E38D9"/>
    <w:rsid w:val="007E3C1A"/>
    <w:rsid w:val="007E458A"/>
    <w:rsid w:val="007E48E8"/>
    <w:rsid w:val="007E4DCD"/>
    <w:rsid w:val="007E6244"/>
    <w:rsid w:val="007E638D"/>
    <w:rsid w:val="007E7D41"/>
    <w:rsid w:val="007F00DD"/>
    <w:rsid w:val="007F0219"/>
    <w:rsid w:val="007F0D87"/>
    <w:rsid w:val="007F1A2A"/>
    <w:rsid w:val="007F1E3F"/>
    <w:rsid w:val="007F2AFB"/>
    <w:rsid w:val="007F356D"/>
    <w:rsid w:val="007F4162"/>
    <w:rsid w:val="007F4694"/>
    <w:rsid w:val="007F49F2"/>
    <w:rsid w:val="007F5867"/>
    <w:rsid w:val="007F63A2"/>
    <w:rsid w:val="007F6918"/>
    <w:rsid w:val="007F7429"/>
    <w:rsid w:val="007F7E3B"/>
    <w:rsid w:val="007F7E67"/>
    <w:rsid w:val="00800BD2"/>
    <w:rsid w:val="0080125E"/>
    <w:rsid w:val="008016F0"/>
    <w:rsid w:val="00801F30"/>
    <w:rsid w:val="00802205"/>
    <w:rsid w:val="0080239F"/>
    <w:rsid w:val="00802831"/>
    <w:rsid w:val="008029E4"/>
    <w:rsid w:val="00802A99"/>
    <w:rsid w:val="00802F62"/>
    <w:rsid w:val="00803E55"/>
    <w:rsid w:val="0080427E"/>
    <w:rsid w:val="00804335"/>
    <w:rsid w:val="008057D2"/>
    <w:rsid w:val="00805C66"/>
    <w:rsid w:val="00805DCD"/>
    <w:rsid w:val="008071CC"/>
    <w:rsid w:val="00807346"/>
    <w:rsid w:val="00810D2D"/>
    <w:rsid w:val="00812AD2"/>
    <w:rsid w:val="00813A40"/>
    <w:rsid w:val="00814024"/>
    <w:rsid w:val="00814C02"/>
    <w:rsid w:val="008168BC"/>
    <w:rsid w:val="008171CB"/>
    <w:rsid w:val="0081799D"/>
    <w:rsid w:val="0082026C"/>
    <w:rsid w:val="00820F14"/>
    <w:rsid w:val="0082107A"/>
    <w:rsid w:val="00821083"/>
    <w:rsid w:val="008216FA"/>
    <w:rsid w:val="008222F8"/>
    <w:rsid w:val="00822747"/>
    <w:rsid w:val="00823731"/>
    <w:rsid w:val="0082481B"/>
    <w:rsid w:val="00824B95"/>
    <w:rsid w:val="00825450"/>
    <w:rsid w:val="00825CD3"/>
    <w:rsid w:val="008260C7"/>
    <w:rsid w:val="008266F9"/>
    <w:rsid w:val="008273D1"/>
    <w:rsid w:val="008306AE"/>
    <w:rsid w:val="008311BD"/>
    <w:rsid w:val="0083129C"/>
    <w:rsid w:val="0083216B"/>
    <w:rsid w:val="00832A68"/>
    <w:rsid w:val="00832E49"/>
    <w:rsid w:val="0083352B"/>
    <w:rsid w:val="008336DA"/>
    <w:rsid w:val="008337EC"/>
    <w:rsid w:val="00833AC9"/>
    <w:rsid w:val="0083515A"/>
    <w:rsid w:val="0083528D"/>
    <w:rsid w:val="008369BE"/>
    <w:rsid w:val="008372CA"/>
    <w:rsid w:val="0084003B"/>
    <w:rsid w:val="0084010A"/>
    <w:rsid w:val="0084045C"/>
    <w:rsid w:val="00840EAE"/>
    <w:rsid w:val="00841945"/>
    <w:rsid w:val="00841AE8"/>
    <w:rsid w:val="00842534"/>
    <w:rsid w:val="00842E4C"/>
    <w:rsid w:val="00842E79"/>
    <w:rsid w:val="0084311C"/>
    <w:rsid w:val="0084313E"/>
    <w:rsid w:val="0084379D"/>
    <w:rsid w:val="00843D9B"/>
    <w:rsid w:val="00843EBA"/>
    <w:rsid w:val="008440D1"/>
    <w:rsid w:val="00844128"/>
    <w:rsid w:val="0084424A"/>
    <w:rsid w:val="008444E3"/>
    <w:rsid w:val="0084597D"/>
    <w:rsid w:val="00845A73"/>
    <w:rsid w:val="00847F3E"/>
    <w:rsid w:val="00850814"/>
    <w:rsid w:val="008510F4"/>
    <w:rsid w:val="008515A6"/>
    <w:rsid w:val="00852754"/>
    <w:rsid w:val="00852FD5"/>
    <w:rsid w:val="008541FE"/>
    <w:rsid w:val="00854670"/>
    <w:rsid w:val="0085486C"/>
    <w:rsid w:val="00854A1C"/>
    <w:rsid w:val="008551E4"/>
    <w:rsid w:val="00855BCA"/>
    <w:rsid w:val="00856D0E"/>
    <w:rsid w:val="00860041"/>
    <w:rsid w:val="008606B5"/>
    <w:rsid w:val="00860B58"/>
    <w:rsid w:val="00861132"/>
    <w:rsid w:val="0086192C"/>
    <w:rsid w:val="00862186"/>
    <w:rsid w:val="008629FB"/>
    <w:rsid w:val="00863C2D"/>
    <w:rsid w:val="00864018"/>
    <w:rsid w:val="00865E5C"/>
    <w:rsid w:val="008708BB"/>
    <w:rsid w:val="00870D4F"/>
    <w:rsid w:val="008737C2"/>
    <w:rsid w:val="00873FAE"/>
    <w:rsid w:val="00874790"/>
    <w:rsid w:val="008759C7"/>
    <w:rsid w:val="00876B36"/>
    <w:rsid w:val="00876CC7"/>
    <w:rsid w:val="00877075"/>
    <w:rsid w:val="0088140E"/>
    <w:rsid w:val="008827BE"/>
    <w:rsid w:val="008831B6"/>
    <w:rsid w:val="008836F9"/>
    <w:rsid w:val="008839C3"/>
    <w:rsid w:val="00884C07"/>
    <w:rsid w:val="008852FA"/>
    <w:rsid w:val="00885903"/>
    <w:rsid w:val="008859A2"/>
    <w:rsid w:val="0088676B"/>
    <w:rsid w:val="00886A9F"/>
    <w:rsid w:val="00886C4C"/>
    <w:rsid w:val="00887704"/>
    <w:rsid w:val="00887BA4"/>
    <w:rsid w:val="00887D5A"/>
    <w:rsid w:val="008905C2"/>
    <w:rsid w:val="008912E8"/>
    <w:rsid w:val="008916B3"/>
    <w:rsid w:val="0089320A"/>
    <w:rsid w:val="00893541"/>
    <w:rsid w:val="00894930"/>
    <w:rsid w:val="00894C8F"/>
    <w:rsid w:val="008950BF"/>
    <w:rsid w:val="008955A6"/>
    <w:rsid w:val="00895E9A"/>
    <w:rsid w:val="00895FB1"/>
    <w:rsid w:val="00897A6A"/>
    <w:rsid w:val="008A0F62"/>
    <w:rsid w:val="008A119A"/>
    <w:rsid w:val="008A14BE"/>
    <w:rsid w:val="008A1ACE"/>
    <w:rsid w:val="008A1B3B"/>
    <w:rsid w:val="008A23C2"/>
    <w:rsid w:val="008A2C5E"/>
    <w:rsid w:val="008A35F6"/>
    <w:rsid w:val="008A536B"/>
    <w:rsid w:val="008A5B11"/>
    <w:rsid w:val="008A604F"/>
    <w:rsid w:val="008A610E"/>
    <w:rsid w:val="008A6B6C"/>
    <w:rsid w:val="008B0BA8"/>
    <w:rsid w:val="008B2429"/>
    <w:rsid w:val="008B30CA"/>
    <w:rsid w:val="008B3552"/>
    <w:rsid w:val="008B58F3"/>
    <w:rsid w:val="008B6357"/>
    <w:rsid w:val="008B668A"/>
    <w:rsid w:val="008B6956"/>
    <w:rsid w:val="008B7CC1"/>
    <w:rsid w:val="008C015F"/>
    <w:rsid w:val="008C08BD"/>
    <w:rsid w:val="008C16E7"/>
    <w:rsid w:val="008C34BE"/>
    <w:rsid w:val="008C4300"/>
    <w:rsid w:val="008C4F7B"/>
    <w:rsid w:val="008C5226"/>
    <w:rsid w:val="008C5790"/>
    <w:rsid w:val="008C59B2"/>
    <w:rsid w:val="008C6031"/>
    <w:rsid w:val="008C684D"/>
    <w:rsid w:val="008C6FB2"/>
    <w:rsid w:val="008C7E23"/>
    <w:rsid w:val="008C7EE4"/>
    <w:rsid w:val="008D0437"/>
    <w:rsid w:val="008D07A3"/>
    <w:rsid w:val="008D0DE7"/>
    <w:rsid w:val="008D156B"/>
    <w:rsid w:val="008D22C1"/>
    <w:rsid w:val="008D2544"/>
    <w:rsid w:val="008D25A0"/>
    <w:rsid w:val="008D30C5"/>
    <w:rsid w:val="008D3C67"/>
    <w:rsid w:val="008D3EFE"/>
    <w:rsid w:val="008D4675"/>
    <w:rsid w:val="008D60A3"/>
    <w:rsid w:val="008D6CC1"/>
    <w:rsid w:val="008D72C4"/>
    <w:rsid w:val="008D73AF"/>
    <w:rsid w:val="008E025E"/>
    <w:rsid w:val="008E0604"/>
    <w:rsid w:val="008E0F10"/>
    <w:rsid w:val="008E2445"/>
    <w:rsid w:val="008E272E"/>
    <w:rsid w:val="008E2C14"/>
    <w:rsid w:val="008E2C31"/>
    <w:rsid w:val="008E3381"/>
    <w:rsid w:val="008E3876"/>
    <w:rsid w:val="008E3C6B"/>
    <w:rsid w:val="008E48C8"/>
    <w:rsid w:val="008E4C9B"/>
    <w:rsid w:val="008E534D"/>
    <w:rsid w:val="008E6BB0"/>
    <w:rsid w:val="008E72A2"/>
    <w:rsid w:val="008F0111"/>
    <w:rsid w:val="008F02CB"/>
    <w:rsid w:val="008F0C3E"/>
    <w:rsid w:val="008F0C78"/>
    <w:rsid w:val="008F11E6"/>
    <w:rsid w:val="008F1338"/>
    <w:rsid w:val="008F2E1C"/>
    <w:rsid w:val="008F3DAF"/>
    <w:rsid w:val="008F408F"/>
    <w:rsid w:val="008F5A67"/>
    <w:rsid w:val="008F68B2"/>
    <w:rsid w:val="008F7F9A"/>
    <w:rsid w:val="0090137C"/>
    <w:rsid w:val="009017DC"/>
    <w:rsid w:val="00901ED6"/>
    <w:rsid w:val="00902277"/>
    <w:rsid w:val="00903032"/>
    <w:rsid w:val="00903D7F"/>
    <w:rsid w:val="00903E59"/>
    <w:rsid w:val="009041FF"/>
    <w:rsid w:val="0090624E"/>
    <w:rsid w:val="00907078"/>
    <w:rsid w:val="009071FA"/>
    <w:rsid w:val="0090768B"/>
    <w:rsid w:val="00912796"/>
    <w:rsid w:val="00912B06"/>
    <w:rsid w:val="00913285"/>
    <w:rsid w:val="009133B9"/>
    <w:rsid w:val="00913FE0"/>
    <w:rsid w:val="0091408D"/>
    <w:rsid w:val="00914AAC"/>
    <w:rsid w:val="00914C51"/>
    <w:rsid w:val="00916C8A"/>
    <w:rsid w:val="00917179"/>
    <w:rsid w:val="009203EA"/>
    <w:rsid w:val="00920A71"/>
    <w:rsid w:val="00923FF6"/>
    <w:rsid w:val="00924A3F"/>
    <w:rsid w:val="00924D30"/>
    <w:rsid w:val="0092582F"/>
    <w:rsid w:val="00925B97"/>
    <w:rsid w:val="00926083"/>
    <w:rsid w:val="009266D5"/>
    <w:rsid w:val="00926862"/>
    <w:rsid w:val="0092739C"/>
    <w:rsid w:val="009301A8"/>
    <w:rsid w:val="00930EAD"/>
    <w:rsid w:val="00930FE6"/>
    <w:rsid w:val="0093116D"/>
    <w:rsid w:val="0093147A"/>
    <w:rsid w:val="00931AE9"/>
    <w:rsid w:val="00931CBA"/>
    <w:rsid w:val="00932954"/>
    <w:rsid w:val="00932C6B"/>
    <w:rsid w:val="009340E0"/>
    <w:rsid w:val="009346BB"/>
    <w:rsid w:val="009357C0"/>
    <w:rsid w:val="009360AD"/>
    <w:rsid w:val="00936EEF"/>
    <w:rsid w:val="00940106"/>
    <w:rsid w:val="00941778"/>
    <w:rsid w:val="00941F97"/>
    <w:rsid w:val="009425A6"/>
    <w:rsid w:val="00942A69"/>
    <w:rsid w:val="00943495"/>
    <w:rsid w:val="009438A6"/>
    <w:rsid w:val="00943D94"/>
    <w:rsid w:val="00944946"/>
    <w:rsid w:val="0094639B"/>
    <w:rsid w:val="00947114"/>
    <w:rsid w:val="009505DD"/>
    <w:rsid w:val="00951022"/>
    <w:rsid w:val="0095262C"/>
    <w:rsid w:val="0095280E"/>
    <w:rsid w:val="00952E49"/>
    <w:rsid w:val="00952F8F"/>
    <w:rsid w:val="0095371E"/>
    <w:rsid w:val="0095392B"/>
    <w:rsid w:val="00953B9D"/>
    <w:rsid w:val="00953BE6"/>
    <w:rsid w:val="00953F29"/>
    <w:rsid w:val="00954391"/>
    <w:rsid w:val="00954813"/>
    <w:rsid w:val="00954D6B"/>
    <w:rsid w:val="00956449"/>
    <w:rsid w:val="0095656D"/>
    <w:rsid w:val="00956C33"/>
    <w:rsid w:val="00957100"/>
    <w:rsid w:val="0095776B"/>
    <w:rsid w:val="0096029A"/>
    <w:rsid w:val="009603C5"/>
    <w:rsid w:val="0096138D"/>
    <w:rsid w:val="00961511"/>
    <w:rsid w:val="009622D6"/>
    <w:rsid w:val="00962E6D"/>
    <w:rsid w:val="00963CA1"/>
    <w:rsid w:val="00964A7B"/>
    <w:rsid w:val="00964A7D"/>
    <w:rsid w:val="00964CE6"/>
    <w:rsid w:val="00965219"/>
    <w:rsid w:val="00965451"/>
    <w:rsid w:val="00965B24"/>
    <w:rsid w:val="00965F80"/>
    <w:rsid w:val="009666C3"/>
    <w:rsid w:val="00966840"/>
    <w:rsid w:val="00966844"/>
    <w:rsid w:val="00967DB7"/>
    <w:rsid w:val="0097073F"/>
    <w:rsid w:val="00970B37"/>
    <w:rsid w:val="00970C31"/>
    <w:rsid w:val="00971E12"/>
    <w:rsid w:val="00972F40"/>
    <w:rsid w:val="0097452C"/>
    <w:rsid w:val="00974E98"/>
    <w:rsid w:val="009757D3"/>
    <w:rsid w:val="00976ACF"/>
    <w:rsid w:val="00976DC1"/>
    <w:rsid w:val="00976ECA"/>
    <w:rsid w:val="00977C73"/>
    <w:rsid w:val="0098021A"/>
    <w:rsid w:val="00980275"/>
    <w:rsid w:val="00980646"/>
    <w:rsid w:val="00981405"/>
    <w:rsid w:val="00981821"/>
    <w:rsid w:val="0098192F"/>
    <w:rsid w:val="00981D5A"/>
    <w:rsid w:val="009822BD"/>
    <w:rsid w:val="00983457"/>
    <w:rsid w:val="00983835"/>
    <w:rsid w:val="00983D1C"/>
    <w:rsid w:val="009841E0"/>
    <w:rsid w:val="009846BA"/>
    <w:rsid w:val="00984EF0"/>
    <w:rsid w:val="009850C9"/>
    <w:rsid w:val="00985730"/>
    <w:rsid w:val="0098691E"/>
    <w:rsid w:val="00986AAF"/>
    <w:rsid w:val="009900C6"/>
    <w:rsid w:val="00990F3B"/>
    <w:rsid w:val="0099109C"/>
    <w:rsid w:val="00991E14"/>
    <w:rsid w:val="00992C5A"/>
    <w:rsid w:val="0099352D"/>
    <w:rsid w:val="00993832"/>
    <w:rsid w:val="00996F2F"/>
    <w:rsid w:val="00997A2D"/>
    <w:rsid w:val="009A0D4F"/>
    <w:rsid w:val="009A11FD"/>
    <w:rsid w:val="009A1429"/>
    <w:rsid w:val="009A1FD3"/>
    <w:rsid w:val="009A2329"/>
    <w:rsid w:val="009A2FD0"/>
    <w:rsid w:val="009A3230"/>
    <w:rsid w:val="009A3CD6"/>
    <w:rsid w:val="009A415C"/>
    <w:rsid w:val="009A424F"/>
    <w:rsid w:val="009A453E"/>
    <w:rsid w:val="009A4747"/>
    <w:rsid w:val="009A5054"/>
    <w:rsid w:val="009A5213"/>
    <w:rsid w:val="009A584C"/>
    <w:rsid w:val="009A58A2"/>
    <w:rsid w:val="009A60E7"/>
    <w:rsid w:val="009A693B"/>
    <w:rsid w:val="009A6957"/>
    <w:rsid w:val="009A760F"/>
    <w:rsid w:val="009A7726"/>
    <w:rsid w:val="009A7A9D"/>
    <w:rsid w:val="009B00DA"/>
    <w:rsid w:val="009B0486"/>
    <w:rsid w:val="009B178C"/>
    <w:rsid w:val="009B187B"/>
    <w:rsid w:val="009B1981"/>
    <w:rsid w:val="009B1F6E"/>
    <w:rsid w:val="009B2455"/>
    <w:rsid w:val="009B348E"/>
    <w:rsid w:val="009B3847"/>
    <w:rsid w:val="009B4B8D"/>
    <w:rsid w:val="009B4FF7"/>
    <w:rsid w:val="009B5169"/>
    <w:rsid w:val="009B5CA3"/>
    <w:rsid w:val="009B633B"/>
    <w:rsid w:val="009B69EA"/>
    <w:rsid w:val="009B77A2"/>
    <w:rsid w:val="009B79FC"/>
    <w:rsid w:val="009C0DF6"/>
    <w:rsid w:val="009C1336"/>
    <w:rsid w:val="009C1C45"/>
    <w:rsid w:val="009C2334"/>
    <w:rsid w:val="009C2C28"/>
    <w:rsid w:val="009C371B"/>
    <w:rsid w:val="009C460B"/>
    <w:rsid w:val="009C46FB"/>
    <w:rsid w:val="009C6BAB"/>
    <w:rsid w:val="009C6BAF"/>
    <w:rsid w:val="009D02D5"/>
    <w:rsid w:val="009D096C"/>
    <w:rsid w:val="009D0DD0"/>
    <w:rsid w:val="009D1E26"/>
    <w:rsid w:val="009D21D3"/>
    <w:rsid w:val="009D2B1B"/>
    <w:rsid w:val="009D2CF0"/>
    <w:rsid w:val="009D3734"/>
    <w:rsid w:val="009D3C77"/>
    <w:rsid w:val="009D5177"/>
    <w:rsid w:val="009D5AE6"/>
    <w:rsid w:val="009D6CF5"/>
    <w:rsid w:val="009D6F1C"/>
    <w:rsid w:val="009D71B6"/>
    <w:rsid w:val="009D72E5"/>
    <w:rsid w:val="009D73A4"/>
    <w:rsid w:val="009E0415"/>
    <w:rsid w:val="009E0477"/>
    <w:rsid w:val="009E0729"/>
    <w:rsid w:val="009E089F"/>
    <w:rsid w:val="009E094D"/>
    <w:rsid w:val="009E1B44"/>
    <w:rsid w:val="009E1DB1"/>
    <w:rsid w:val="009E1F92"/>
    <w:rsid w:val="009E2319"/>
    <w:rsid w:val="009E2371"/>
    <w:rsid w:val="009E248A"/>
    <w:rsid w:val="009E3B37"/>
    <w:rsid w:val="009E4528"/>
    <w:rsid w:val="009E4711"/>
    <w:rsid w:val="009E473B"/>
    <w:rsid w:val="009E4D3B"/>
    <w:rsid w:val="009E501A"/>
    <w:rsid w:val="009E575C"/>
    <w:rsid w:val="009E60C8"/>
    <w:rsid w:val="009E6149"/>
    <w:rsid w:val="009E681E"/>
    <w:rsid w:val="009E68C5"/>
    <w:rsid w:val="009E7355"/>
    <w:rsid w:val="009F002E"/>
    <w:rsid w:val="009F1647"/>
    <w:rsid w:val="009F1BC3"/>
    <w:rsid w:val="009F35B8"/>
    <w:rsid w:val="009F390C"/>
    <w:rsid w:val="009F7006"/>
    <w:rsid w:val="009F778F"/>
    <w:rsid w:val="009F7951"/>
    <w:rsid w:val="009F7B1D"/>
    <w:rsid w:val="00A001F2"/>
    <w:rsid w:val="00A016B0"/>
    <w:rsid w:val="00A0219E"/>
    <w:rsid w:val="00A02389"/>
    <w:rsid w:val="00A02816"/>
    <w:rsid w:val="00A02A04"/>
    <w:rsid w:val="00A02B82"/>
    <w:rsid w:val="00A039E1"/>
    <w:rsid w:val="00A03BF8"/>
    <w:rsid w:val="00A03D93"/>
    <w:rsid w:val="00A0415A"/>
    <w:rsid w:val="00A046B0"/>
    <w:rsid w:val="00A054EB"/>
    <w:rsid w:val="00A061CA"/>
    <w:rsid w:val="00A06B4D"/>
    <w:rsid w:val="00A11032"/>
    <w:rsid w:val="00A12485"/>
    <w:rsid w:val="00A12E6E"/>
    <w:rsid w:val="00A13521"/>
    <w:rsid w:val="00A142ED"/>
    <w:rsid w:val="00A145C7"/>
    <w:rsid w:val="00A1464A"/>
    <w:rsid w:val="00A152B6"/>
    <w:rsid w:val="00A15457"/>
    <w:rsid w:val="00A1557B"/>
    <w:rsid w:val="00A16212"/>
    <w:rsid w:val="00A16EB2"/>
    <w:rsid w:val="00A17380"/>
    <w:rsid w:val="00A17A0B"/>
    <w:rsid w:val="00A17E06"/>
    <w:rsid w:val="00A20036"/>
    <w:rsid w:val="00A201B7"/>
    <w:rsid w:val="00A2081E"/>
    <w:rsid w:val="00A20B8A"/>
    <w:rsid w:val="00A22CBC"/>
    <w:rsid w:val="00A23CFD"/>
    <w:rsid w:val="00A25516"/>
    <w:rsid w:val="00A267E9"/>
    <w:rsid w:val="00A27019"/>
    <w:rsid w:val="00A27382"/>
    <w:rsid w:val="00A276C3"/>
    <w:rsid w:val="00A27F0D"/>
    <w:rsid w:val="00A3097C"/>
    <w:rsid w:val="00A30A70"/>
    <w:rsid w:val="00A30C9F"/>
    <w:rsid w:val="00A33909"/>
    <w:rsid w:val="00A33D1A"/>
    <w:rsid w:val="00A35966"/>
    <w:rsid w:val="00A35A99"/>
    <w:rsid w:val="00A35B62"/>
    <w:rsid w:val="00A35EFC"/>
    <w:rsid w:val="00A360C6"/>
    <w:rsid w:val="00A37BEA"/>
    <w:rsid w:val="00A410E0"/>
    <w:rsid w:val="00A41104"/>
    <w:rsid w:val="00A41113"/>
    <w:rsid w:val="00A4176A"/>
    <w:rsid w:val="00A421CC"/>
    <w:rsid w:val="00A42E97"/>
    <w:rsid w:val="00A43BBA"/>
    <w:rsid w:val="00A43FB4"/>
    <w:rsid w:val="00A446DD"/>
    <w:rsid w:val="00A4708A"/>
    <w:rsid w:val="00A47283"/>
    <w:rsid w:val="00A50CFD"/>
    <w:rsid w:val="00A50DC1"/>
    <w:rsid w:val="00A50F76"/>
    <w:rsid w:val="00A523B0"/>
    <w:rsid w:val="00A5285D"/>
    <w:rsid w:val="00A52B3B"/>
    <w:rsid w:val="00A52F1B"/>
    <w:rsid w:val="00A536D4"/>
    <w:rsid w:val="00A53BF8"/>
    <w:rsid w:val="00A5605B"/>
    <w:rsid w:val="00A56810"/>
    <w:rsid w:val="00A56D4A"/>
    <w:rsid w:val="00A6089F"/>
    <w:rsid w:val="00A6116C"/>
    <w:rsid w:val="00A617BC"/>
    <w:rsid w:val="00A6216E"/>
    <w:rsid w:val="00A62A47"/>
    <w:rsid w:val="00A64027"/>
    <w:rsid w:val="00A64A36"/>
    <w:rsid w:val="00A64DCB"/>
    <w:rsid w:val="00A64F02"/>
    <w:rsid w:val="00A65E56"/>
    <w:rsid w:val="00A65F95"/>
    <w:rsid w:val="00A660E3"/>
    <w:rsid w:val="00A66AF4"/>
    <w:rsid w:val="00A678CA"/>
    <w:rsid w:val="00A71184"/>
    <w:rsid w:val="00A74025"/>
    <w:rsid w:val="00A7410E"/>
    <w:rsid w:val="00A741F5"/>
    <w:rsid w:val="00A74417"/>
    <w:rsid w:val="00A759FD"/>
    <w:rsid w:val="00A7608D"/>
    <w:rsid w:val="00A7703F"/>
    <w:rsid w:val="00A77461"/>
    <w:rsid w:val="00A77669"/>
    <w:rsid w:val="00A802DB"/>
    <w:rsid w:val="00A81297"/>
    <w:rsid w:val="00A82730"/>
    <w:rsid w:val="00A8304C"/>
    <w:rsid w:val="00A835AF"/>
    <w:rsid w:val="00A8479A"/>
    <w:rsid w:val="00A84B18"/>
    <w:rsid w:val="00A84BC6"/>
    <w:rsid w:val="00A85AC6"/>
    <w:rsid w:val="00A85EA6"/>
    <w:rsid w:val="00A86BAD"/>
    <w:rsid w:val="00A86E98"/>
    <w:rsid w:val="00A87907"/>
    <w:rsid w:val="00A87FCE"/>
    <w:rsid w:val="00A90219"/>
    <w:rsid w:val="00A91114"/>
    <w:rsid w:val="00A92228"/>
    <w:rsid w:val="00A92811"/>
    <w:rsid w:val="00A92887"/>
    <w:rsid w:val="00A92BDD"/>
    <w:rsid w:val="00A937F1"/>
    <w:rsid w:val="00A93CB3"/>
    <w:rsid w:val="00A94056"/>
    <w:rsid w:val="00A94E43"/>
    <w:rsid w:val="00A95380"/>
    <w:rsid w:val="00A95FBC"/>
    <w:rsid w:val="00A9641B"/>
    <w:rsid w:val="00A96596"/>
    <w:rsid w:val="00A96E78"/>
    <w:rsid w:val="00A97AB6"/>
    <w:rsid w:val="00AA0004"/>
    <w:rsid w:val="00AA048D"/>
    <w:rsid w:val="00AA1076"/>
    <w:rsid w:val="00AA12BA"/>
    <w:rsid w:val="00AA1976"/>
    <w:rsid w:val="00AA1F58"/>
    <w:rsid w:val="00AA3376"/>
    <w:rsid w:val="00AA39B0"/>
    <w:rsid w:val="00AA40C2"/>
    <w:rsid w:val="00AA4165"/>
    <w:rsid w:val="00AA46F3"/>
    <w:rsid w:val="00AA4E87"/>
    <w:rsid w:val="00AA6682"/>
    <w:rsid w:val="00AA69CA"/>
    <w:rsid w:val="00AA6FBB"/>
    <w:rsid w:val="00AA7A89"/>
    <w:rsid w:val="00AA7B01"/>
    <w:rsid w:val="00AA7D9E"/>
    <w:rsid w:val="00AB06B3"/>
    <w:rsid w:val="00AB0DE5"/>
    <w:rsid w:val="00AB0F6D"/>
    <w:rsid w:val="00AB135D"/>
    <w:rsid w:val="00AB1592"/>
    <w:rsid w:val="00AB1798"/>
    <w:rsid w:val="00AB1FD1"/>
    <w:rsid w:val="00AB21FC"/>
    <w:rsid w:val="00AB25B0"/>
    <w:rsid w:val="00AB32B8"/>
    <w:rsid w:val="00AB3418"/>
    <w:rsid w:val="00AB3E7C"/>
    <w:rsid w:val="00AB4BC2"/>
    <w:rsid w:val="00AB6442"/>
    <w:rsid w:val="00AB6534"/>
    <w:rsid w:val="00AB7605"/>
    <w:rsid w:val="00AB7C25"/>
    <w:rsid w:val="00AC113A"/>
    <w:rsid w:val="00AC18DD"/>
    <w:rsid w:val="00AC1C4D"/>
    <w:rsid w:val="00AC1D0D"/>
    <w:rsid w:val="00AC2141"/>
    <w:rsid w:val="00AC2B9B"/>
    <w:rsid w:val="00AC2F1A"/>
    <w:rsid w:val="00AC2F47"/>
    <w:rsid w:val="00AC2F9E"/>
    <w:rsid w:val="00AC3BAC"/>
    <w:rsid w:val="00AC42CC"/>
    <w:rsid w:val="00AC4F83"/>
    <w:rsid w:val="00AC5370"/>
    <w:rsid w:val="00AC5E40"/>
    <w:rsid w:val="00AC611E"/>
    <w:rsid w:val="00AC654E"/>
    <w:rsid w:val="00AC6715"/>
    <w:rsid w:val="00AC7DDD"/>
    <w:rsid w:val="00AD0883"/>
    <w:rsid w:val="00AD1218"/>
    <w:rsid w:val="00AD1D53"/>
    <w:rsid w:val="00AD1DC9"/>
    <w:rsid w:val="00AD2E34"/>
    <w:rsid w:val="00AD390B"/>
    <w:rsid w:val="00AD3980"/>
    <w:rsid w:val="00AD52A2"/>
    <w:rsid w:val="00AD6A92"/>
    <w:rsid w:val="00AD75E5"/>
    <w:rsid w:val="00AD76C8"/>
    <w:rsid w:val="00AD7F8B"/>
    <w:rsid w:val="00AE0E61"/>
    <w:rsid w:val="00AE0F38"/>
    <w:rsid w:val="00AE1A30"/>
    <w:rsid w:val="00AE1B17"/>
    <w:rsid w:val="00AE2177"/>
    <w:rsid w:val="00AE3DB8"/>
    <w:rsid w:val="00AE41BB"/>
    <w:rsid w:val="00AE456F"/>
    <w:rsid w:val="00AE4A7A"/>
    <w:rsid w:val="00AE4BDF"/>
    <w:rsid w:val="00AE55EB"/>
    <w:rsid w:val="00AE5972"/>
    <w:rsid w:val="00AE6623"/>
    <w:rsid w:val="00AE7A4D"/>
    <w:rsid w:val="00AE7E7B"/>
    <w:rsid w:val="00AF051F"/>
    <w:rsid w:val="00AF0FEC"/>
    <w:rsid w:val="00AF1388"/>
    <w:rsid w:val="00AF1853"/>
    <w:rsid w:val="00AF1A27"/>
    <w:rsid w:val="00AF1A3A"/>
    <w:rsid w:val="00AF1AF1"/>
    <w:rsid w:val="00AF2AF2"/>
    <w:rsid w:val="00AF3007"/>
    <w:rsid w:val="00AF427A"/>
    <w:rsid w:val="00AF48FE"/>
    <w:rsid w:val="00AF5CD3"/>
    <w:rsid w:val="00AF6C34"/>
    <w:rsid w:val="00AF7355"/>
    <w:rsid w:val="00AF7F1D"/>
    <w:rsid w:val="00B00A7F"/>
    <w:rsid w:val="00B014D7"/>
    <w:rsid w:val="00B02664"/>
    <w:rsid w:val="00B0310B"/>
    <w:rsid w:val="00B03232"/>
    <w:rsid w:val="00B0353E"/>
    <w:rsid w:val="00B0594A"/>
    <w:rsid w:val="00B05A04"/>
    <w:rsid w:val="00B05ACB"/>
    <w:rsid w:val="00B06461"/>
    <w:rsid w:val="00B06F42"/>
    <w:rsid w:val="00B07125"/>
    <w:rsid w:val="00B071B2"/>
    <w:rsid w:val="00B07B8A"/>
    <w:rsid w:val="00B108C0"/>
    <w:rsid w:val="00B11815"/>
    <w:rsid w:val="00B12166"/>
    <w:rsid w:val="00B12269"/>
    <w:rsid w:val="00B13843"/>
    <w:rsid w:val="00B13B80"/>
    <w:rsid w:val="00B13F75"/>
    <w:rsid w:val="00B142FF"/>
    <w:rsid w:val="00B14D03"/>
    <w:rsid w:val="00B157FD"/>
    <w:rsid w:val="00B16988"/>
    <w:rsid w:val="00B17647"/>
    <w:rsid w:val="00B17E71"/>
    <w:rsid w:val="00B2019C"/>
    <w:rsid w:val="00B20507"/>
    <w:rsid w:val="00B20A42"/>
    <w:rsid w:val="00B20E28"/>
    <w:rsid w:val="00B21A9E"/>
    <w:rsid w:val="00B22E1F"/>
    <w:rsid w:val="00B231C1"/>
    <w:rsid w:val="00B231E7"/>
    <w:rsid w:val="00B23675"/>
    <w:rsid w:val="00B2371D"/>
    <w:rsid w:val="00B23943"/>
    <w:rsid w:val="00B2421E"/>
    <w:rsid w:val="00B2505F"/>
    <w:rsid w:val="00B25A5A"/>
    <w:rsid w:val="00B263B2"/>
    <w:rsid w:val="00B26FD7"/>
    <w:rsid w:val="00B275C8"/>
    <w:rsid w:val="00B278FF"/>
    <w:rsid w:val="00B30782"/>
    <w:rsid w:val="00B309A4"/>
    <w:rsid w:val="00B309E4"/>
    <w:rsid w:val="00B30A18"/>
    <w:rsid w:val="00B311A7"/>
    <w:rsid w:val="00B31475"/>
    <w:rsid w:val="00B31F5E"/>
    <w:rsid w:val="00B322A6"/>
    <w:rsid w:val="00B322AD"/>
    <w:rsid w:val="00B33DC9"/>
    <w:rsid w:val="00B34EB4"/>
    <w:rsid w:val="00B3566D"/>
    <w:rsid w:val="00B35E4F"/>
    <w:rsid w:val="00B3690B"/>
    <w:rsid w:val="00B36F60"/>
    <w:rsid w:val="00B37482"/>
    <w:rsid w:val="00B37F23"/>
    <w:rsid w:val="00B40B6C"/>
    <w:rsid w:val="00B40D05"/>
    <w:rsid w:val="00B41624"/>
    <w:rsid w:val="00B429CD"/>
    <w:rsid w:val="00B42D9B"/>
    <w:rsid w:val="00B451C3"/>
    <w:rsid w:val="00B45668"/>
    <w:rsid w:val="00B45993"/>
    <w:rsid w:val="00B467FA"/>
    <w:rsid w:val="00B46A12"/>
    <w:rsid w:val="00B46D88"/>
    <w:rsid w:val="00B46F30"/>
    <w:rsid w:val="00B47B76"/>
    <w:rsid w:val="00B5107F"/>
    <w:rsid w:val="00B5127E"/>
    <w:rsid w:val="00B51B23"/>
    <w:rsid w:val="00B51F22"/>
    <w:rsid w:val="00B52B99"/>
    <w:rsid w:val="00B53450"/>
    <w:rsid w:val="00B537DB"/>
    <w:rsid w:val="00B53AD8"/>
    <w:rsid w:val="00B54909"/>
    <w:rsid w:val="00B54CC5"/>
    <w:rsid w:val="00B552A7"/>
    <w:rsid w:val="00B56082"/>
    <w:rsid w:val="00B570E3"/>
    <w:rsid w:val="00B6017E"/>
    <w:rsid w:val="00B60669"/>
    <w:rsid w:val="00B610D2"/>
    <w:rsid w:val="00B61B38"/>
    <w:rsid w:val="00B61D4A"/>
    <w:rsid w:val="00B62A92"/>
    <w:rsid w:val="00B6362B"/>
    <w:rsid w:val="00B63720"/>
    <w:rsid w:val="00B641DD"/>
    <w:rsid w:val="00B6496A"/>
    <w:rsid w:val="00B64BE0"/>
    <w:rsid w:val="00B658FB"/>
    <w:rsid w:val="00B65F40"/>
    <w:rsid w:val="00B6604E"/>
    <w:rsid w:val="00B668B3"/>
    <w:rsid w:val="00B66DAE"/>
    <w:rsid w:val="00B6729B"/>
    <w:rsid w:val="00B673C4"/>
    <w:rsid w:val="00B71FE4"/>
    <w:rsid w:val="00B737B0"/>
    <w:rsid w:val="00B737C0"/>
    <w:rsid w:val="00B73D78"/>
    <w:rsid w:val="00B73E2D"/>
    <w:rsid w:val="00B7484E"/>
    <w:rsid w:val="00B74AE6"/>
    <w:rsid w:val="00B74D02"/>
    <w:rsid w:val="00B75290"/>
    <w:rsid w:val="00B757FD"/>
    <w:rsid w:val="00B75B04"/>
    <w:rsid w:val="00B75F4D"/>
    <w:rsid w:val="00B765F7"/>
    <w:rsid w:val="00B7697E"/>
    <w:rsid w:val="00B77B6D"/>
    <w:rsid w:val="00B77F5C"/>
    <w:rsid w:val="00B80005"/>
    <w:rsid w:val="00B807DE"/>
    <w:rsid w:val="00B80A63"/>
    <w:rsid w:val="00B814CD"/>
    <w:rsid w:val="00B82765"/>
    <w:rsid w:val="00B8292B"/>
    <w:rsid w:val="00B82F69"/>
    <w:rsid w:val="00B840E4"/>
    <w:rsid w:val="00B84182"/>
    <w:rsid w:val="00B845D9"/>
    <w:rsid w:val="00B84DD7"/>
    <w:rsid w:val="00B85A01"/>
    <w:rsid w:val="00B86484"/>
    <w:rsid w:val="00B90EBB"/>
    <w:rsid w:val="00B91112"/>
    <w:rsid w:val="00B920DE"/>
    <w:rsid w:val="00B92517"/>
    <w:rsid w:val="00B92E4F"/>
    <w:rsid w:val="00B9353E"/>
    <w:rsid w:val="00B942CD"/>
    <w:rsid w:val="00B95877"/>
    <w:rsid w:val="00B95D9B"/>
    <w:rsid w:val="00B960F4"/>
    <w:rsid w:val="00B9630E"/>
    <w:rsid w:val="00B96976"/>
    <w:rsid w:val="00B96C02"/>
    <w:rsid w:val="00B975E6"/>
    <w:rsid w:val="00B97658"/>
    <w:rsid w:val="00B9791B"/>
    <w:rsid w:val="00B9791F"/>
    <w:rsid w:val="00B97A8D"/>
    <w:rsid w:val="00BA0E9E"/>
    <w:rsid w:val="00BA12DE"/>
    <w:rsid w:val="00BA2627"/>
    <w:rsid w:val="00BA33B2"/>
    <w:rsid w:val="00BA4CB0"/>
    <w:rsid w:val="00BA5014"/>
    <w:rsid w:val="00BA6896"/>
    <w:rsid w:val="00BA6F06"/>
    <w:rsid w:val="00BA6FBE"/>
    <w:rsid w:val="00BA732C"/>
    <w:rsid w:val="00BB0584"/>
    <w:rsid w:val="00BB116A"/>
    <w:rsid w:val="00BB2244"/>
    <w:rsid w:val="00BB2455"/>
    <w:rsid w:val="00BB3EBD"/>
    <w:rsid w:val="00BB43D0"/>
    <w:rsid w:val="00BB48FA"/>
    <w:rsid w:val="00BB4E8C"/>
    <w:rsid w:val="00BB619A"/>
    <w:rsid w:val="00BB63C3"/>
    <w:rsid w:val="00BB779F"/>
    <w:rsid w:val="00BC0B2A"/>
    <w:rsid w:val="00BC19A9"/>
    <w:rsid w:val="00BC2F63"/>
    <w:rsid w:val="00BC3737"/>
    <w:rsid w:val="00BC3A06"/>
    <w:rsid w:val="00BC4212"/>
    <w:rsid w:val="00BC4394"/>
    <w:rsid w:val="00BC4642"/>
    <w:rsid w:val="00BC47D1"/>
    <w:rsid w:val="00BC4A82"/>
    <w:rsid w:val="00BC60E3"/>
    <w:rsid w:val="00BC6B02"/>
    <w:rsid w:val="00BC6E99"/>
    <w:rsid w:val="00BD13C6"/>
    <w:rsid w:val="00BD21A4"/>
    <w:rsid w:val="00BD3760"/>
    <w:rsid w:val="00BD41F8"/>
    <w:rsid w:val="00BD4DB3"/>
    <w:rsid w:val="00BD4E07"/>
    <w:rsid w:val="00BD529C"/>
    <w:rsid w:val="00BD6661"/>
    <w:rsid w:val="00BD70AF"/>
    <w:rsid w:val="00BD7790"/>
    <w:rsid w:val="00BE126F"/>
    <w:rsid w:val="00BE1499"/>
    <w:rsid w:val="00BE2580"/>
    <w:rsid w:val="00BE44F6"/>
    <w:rsid w:val="00BE4CCB"/>
    <w:rsid w:val="00BE4F17"/>
    <w:rsid w:val="00BE50AA"/>
    <w:rsid w:val="00BE5245"/>
    <w:rsid w:val="00BE5A22"/>
    <w:rsid w:val="00BE5B16"/>
    <w:rsid w:val="00BF0A5D"/>
    <w:rsid w:val="00BF1154"/>
    <w:rsid w:val="00BF1BCC"/>
    <w:rsid w:val="00BF1F8E"/>
    <w:rsid w:val="00BF2A1E"/>
    <w:rsid w:val="00BF2AA6"/>
    <w:rsid w:val="00BF2D7D"/>
    <w:rsid w:val="00BF303A"/>
    <w:rsid w:val="00BF322A"/>
    <w:rsid w:val="00BF3950"/>
    <w:rsid w:val="00BF3998"/>
    <w:rsid w:val="00BF3A7A"/>
    <w:rsid w:val="00BF4277"/>
    <w:rsid w:val="00BF4354"/>
    <w:rsid w:val="00BF47DC"/>
    <w:rsid w:val="00BF4BE8"/>
    <w:rsid w:val="00BF4EFA"/>
    <w:rsid w:val="00BF67BA"/>
    <w:rsid w:val="00BF705E"/>
    <w:rsid w:val="00BF7C03"/>
    <w:rsid w:val="00C000FB"/>
    <w:rsid w:val="00C0150E"/>
    <w:rsid w:val="00C01523"/>
    <w:rsid w:val="00C01694"/>
    <w:rsid w:val="00C02B28"/>
    <w:rsid w:val="00C04193"/>
    <w:rsid w:val="00C04D11"/>
    <w:rsid w:val="00C05CFE"/>
    <w:rsid w:val="00C06D8A"/>
    <w:rsid w:val="00C076FF"/>
    <w:rsid w:val="00C10526"/>
    <w:rsid w:val="00C129F4"/>
    <w:rsid w:val="00C12F5D"/>
    <w:rsid w:val="00C133E3"/>
    <w:rsid w:val="00C136FA"/>
    <w:rsid w:val="00C13CF2"/>
    <w:rsid w:val="00C14F6B"/>
    <w:rsid w:val="00C208BF"/>
    <w:rsid w:val="00C20A26"/>
    <w:rsid w:val="00C211A8"/>
    <w:rsid w:val="00C215B9"/>
    <w:rsid w:val="00C2252F"/>
    <w:rsid w:val="00C237A4"/>
    <w:rsid w:val="00C23E33"/>
    <w:rsid w:val="00C2406F"/>
    <w:rsid w:val="00C24188"/>
    <w:rsid w:val="00C245F3"/>
    <w:rsid w:val="00C248BD"/>
    <w:rsid w:val="00C25D20"/>
    <w:rsid w:val="00C264E4"/>
    <w:rsid w:val="00C26747"/>
    <w:rsid w:val="00C2742C"/>
    <w:rsid w:val="00C278BE"/>
    <w:rsid w:val="00C30096"/>
    <w:rsid w:val="00C315FF"/>
    <w:rsid w:val="00C31B9D"/>
    <w:rsid w:val="00C31CAC"/>
    <w:rsid w:val="00C31DB8"/>
    <w:rsid w:val="00C32CED"/>
    <w:rsid w:val="00C33263"/>
    <w:rsid w:val="00C34476"/>
    <w:rsid w:val="00C35326"/>
    <w:rsid w:val="00C36B5E"/>
    <w:rsid w:val="00C37BB9"/>
    <w:rsid w:val="00C4175C"/>
    <w:rsid w:val="00C42707"/>
    <w:rsid w:val="00C4299A"/>
    <w:rsid w:val="00C42F54"/>
    <w:rsid w:val="00C4448F"/>
    <w:rsid w:val="00C446F2"/>
    <w:rsid w:val="00C454AE"/>
    <w:rsid w:val="00C45719"/>
    <w:rsid w:val="00C47111"/>
    <w:rsid w:val="00C47B51"/>
    <w:rsid w:val="00C50709"/>
    <w:rsid w:val="00C515F1"/>
    <w:rsid w:val="00C518C0"/>
    <w:rsid w:val="00C51ACE"/>
    <w:rsid w:val="00C51E50"/>
    <w:rsid w:val="00C520B6"/>
    <w:rsid w:val="00C5400E"/>
    <w:rsid w:val="00C541F5"/>
    <w:rsid w:val="00C54B6E"/>
    <w:rsid w:val="00C54D05"/>
    <w:rsid w:val="00C5503C"/>
    <w:rsid w:val="00C556B2"/>
    <w:rsid w:val="00C561C1"/>
    <w:rsid w:val="00C56215"/>
    <w:rsid w:val="00C571C6"/>
    <w:rsid w:val="00C57290"/>
    <w:rsid w:val="00C5731E"/>
    <w:rsid w:val="00C630F4"/>
    <w:rsid w:val="00C643F5"/>
    <w:rsid w:val="00C65442"/>
    <w:rsid w:val="00C65E5D"/>
    <w:rsid w:val="00C66276"/>
    <w:rsid w:val="00C66E55"/>
    <w:rsid w:val="00C6732E"/>
    <w:rsid w:val="00C6766F"/>
    <w:rsid w:val="00C7022F"/>
    <w:rsid w:val="00C7035E"/>
    <w:rsid w:val="00C7046E"/>
    <w:rsid w:val="00C71D22"/>
    <w:rsid w:val="00C71E37"/>
    <w:rsid w:val="00C7212E"/>
    <w:rsid w:val="00C72BCF"/>
    <w:rsid w:val="00C73678"/>
    <w:rsid w:val="00C746FE"/>
    <w:rsid w:val="00C74DE4"/>
    <w:rsid w:val="00C75243"/>
    <w:rsid w:val="00C7580D"/>
    <w:rsid w:val="00C75E3F"/>
    <w:rsid w:val="00C75E6D"/>
    <w:rsid w:val="00C75F29"/>
    <w:rsid w:val="00C76458"/>
    <w:rsid w:val="00C767D7"/>
    <w:rsid w:val="00C769AB"/>
    <w:rsid w:val="00C774A6"/>
    <w:rsid w:val="00C80681"/>
    <w:rsid w:val="00C80C12"/>
    <w:rsid w:val="00C80C5B"/>
    <w:rsid w:val="00C8173C"/>
    <w:rsid w:val="00C82E83"/>
    <w:rsid w:val="00C84B92"/>
    <w:rsid w:val="00C85793"/>
    <w:rsid w:val="00C8633A"/>
    <w:rsid w:val="00C867B7"/>
    <w:rsid w:val="00C86BEF"/>
    <w:rsid w:val="00C870E8"/>
    <w:rsid w:val="00C909F4"/>
    <w:rsid w:val="00C90C47"/>
    <w:rsid w:val="00C91382"/>
    <w:rsid w:val="00C91793"/>
    <w:rsid w:val="00C91B1D"/>
    <w:rsid w:val="00C91CF1"/>
    <w:rsid w:val="00C91FDE"/>
    <w:rsid w:val="00C92CCE"/>
    <w:rsid w:val="00C9362C"/>
    <w:rsid w:val="00C939D7"/>
    <w:rsid w:val="00C93DD8"/>
    <w:rsid w:val="00C94112"/>
    <w:rsid w:val="00C94EA3"/>
    <w:rsid w:val="00C94FC3"/>
    <w:rsid w:val="00C95653"/>
    <w:rsid w:val="00C95E06"/>
    <w:rsid w:val="00C97B4C"/>
    <w:rsid w:val="00C97FBD"/>
    <w:rsid w:val="00CA05EC"/>
    <w:rsid w:val="00CA1111"/>
    <w:rsid w:val="00CA11F6"/>
    <w:rsid w:val="00CA15F9"/>
    <w:rsid w:val="00CA1CDE"/>
    <w:rsid w:val="00CA27EB"/>
    <w:rsid w:val="00CA27FF"/>
    <w:rsid w:val="00CA284F"/>
    <w:rsid w:val="00CA3503"/>
    <w:rsid w:val="00CA4342"/>
    <w:rsid w:val="00CA435E"/>
    <w:rsid w:val="00CA4904"/>
    <w:rsid w:val="00CA4CF0"/>
    <w:rsid w:val="00CA64B0"/>
    <w:rsid w:val="00CA6974"/>
    <w:rsid w:val="00CA7033"/>
    <w:rsid w:val="00CB02F9"/>
    <w:rsid w:val="00CB0D25"/>
    <w:rsid w:val="00CB131F"/>
    <w:rsid w:val="00CB1602"/>
    <w:rsid w:val="00CB189F"/>
    <w:rsid w:val="00CB1B55"/>
    <w:rsid w:val="00CB2A11"/>
    <w:rsid w:val="00CB2E03"/>
    <w:rsid w:val="00CB40E4"/>
    <w:rsid w:val="00CB614F"/>
    <w:rsid w:val="00CB683B"/>
    <w:rsid w:val="00CB6E0C"/>
    <w:rsid w:val="00CB7F41"/>
    <w:rsid w:val="00CC017D"/>
    <w:rsid w:val="00CC16D0"/>
    <w:rsid w:val="00CC28EE"/>
    <w:rsid w:val="00CC31F3"/>
    <w:rsid w:val="00CC4DD1"/>
    <w:rsid w:val="00CC602C"/>
    <w:rsid w:val="00CC6477"/>
    <w:rsid w:val="00CC6DC5"/>
    <w:rsid w:val="00CC75DB"/>
    <w:rsid w:val="00CD03DD"/>
    <w:rsid w:val="00CD051E"/>
    <w:rsid w:val="00CD0842"/>
    <w:rsid w:val="00CD1023"/>
    <w:rsid w:val="00CD128C"/>
    <w:rsid w:val="00CD1CE0"/>
    <w:rsid w:val="00CD203E"/>
    <w:rsid w:val="00CD26E7"/>
    <w:rsid w:val="00CD3100"/>
    <w:rsid w:val="00CD4B2D"/>
    <w:rsid w:val="00CD51A6"/>
    <w:rsid w:val="00CD55E6"/>
    <w:rsid w:val="00CD5977"/>
    <w:rsid w:val="00CD5CC1"/>
    <w:rsid w:val="00CD5DEC"/>
    <w:rsid w:val="00CD65EE"/>
    <w:rsid w:val="00CD75A3"/>
    <w:rsid w:val="00CE005D"/>
    <w:rsid w:val="00CE019D"/>
    <w:rsid w:val="00CE01B6"/>
    <w:rsid w:val="00CE086C"/>
    <w:rsid w:val="00CE2301"/>
    <w:rsid w:val="00CE2316"/>
    <w:rsid w:val="00CE3885"/>
    <w:rsid w:val="00CE4E10"/>
    <w:rsid w:val="00CE53E3"/>
    <w:rsid w:val="00CE53E8"/>
    <w:rsid w:val="00CE5579"/>
    <w:rsid w:val="00CE611E"/>
    <w:rsid w:val="00CE6601"/>
    <w:rsid w:val="00CE67CE"/>
    <w:rsid w:val="00CE7020"/>
    <w:rsid w:val="00CE7BC5"/>
    <w:rsid w:val="00CE7D81"/>
    <w:rsid w:val="00CF16F3"/>
    <w:rsid w:val="00CF265B"/>
    <w:rsid w:val="00CF2A98"/>
    <w:rsid w:val="00CF2B5C"/>
    <w:rsid w:val="00CF2C1D"/>
    <w:rsid w:val="00CF2F8C"/>
    <w:rsid w:val="00CF3057"/>
    <w:rsid w:val="00CF3458"/>
    <w:rsid w:val="00CF3A47"/>
    <w:rsid w:val="00CF3FCE"/>
    <w:rsid w:val="00CF400F"/>
    <w:rsid w:val="00CF4460"/>
    <w:rsid w:val="00CF5B11"/>
    <w:rsid w:val="00CF5F46"/>
    <w:rsid w:val="00CF6B33"/>
    <w:rsid w:val="00CF7E90"/>
    <w:rsid w:val="00D022CB"/>
    <w:rsid w:val="00D02750"/>
    <w:rsid w:val="00D029D1"/>
    <w:rsid w:val="00D036A4"/>
    <w:rsid w:val="00D03856"/>
    <w:rsid w:val="00D03AE4"/>
    <w:rsid w:val="00D05372"/>
    <w:rsid w:val="00D055D3"/>
    <w:rsid w:val="00D05D39"/>
    <w:rsid w:val="00D06B24"/>
    <w:rsid w:val="00D1009B"/>
    <w:rsid w:val="00D100E8"/>
    <w:rsid w:val="00D10553"/>
    <w:rsid w:val="00D105BB"/>
    <w:rsid w:val="00D11938"/>
    <w:rsid w:val="00D11B88"/>
    <w:rsid w:val="00D11DEF"/>
    <w:rsid w:val="00D12C77"/>
    <w:rsid w:val="00D12C9F"/>
    <w:rsid w:val="00D13760"/>
    <w:rsid w:val="00D13E4F"/>
    <w:rsid w:val="00D14046"/>
    <w:rsid w:val="00D1434C"/>
    <w:rsid w:val="00D143AC"/>
    <w:rsid w:val="00D1459E"/>
    <w:rsid w:val="00D14E58"/>
    <w:rsid w:val="00D154F9"/>
    <w:rsid w:val="00D15C00"/>
    <w:rsid w:val="00D16E66"/>
    <w:rsid w:val="00D17478"/>
    <w:rsid w:val="00D202C5"/>
    <w:rsid w:val="00D20B23"/>
    <w:rsid w:val="00D21B64"/>
    <w:rsid w:val="00D21F98"/>
    <w:rsid w:val="00D2263F"/>
    <w:rsid w:val="00D23C4D"/>
    <w:rsid w:val="00D24A48"/>
    <w:rsid w:val="00D24AB4"/>
    <w:rsid w:val="00D24D97"/>
    <w:rsid w:val="00D24DAA"/>
    <w:rsid w:val="00D25D1F"/>
    <w:rsid w:val="00D25E0A"/>
    <w:rsid w:val="00D260B5"/>
    <w:rsid w:val="00D265C9"/>
    <w:rsid w:val="00D2677A"/>
    <w:rsid w:val="00D2714C"/>
    <w:rsid w:val="00D271C3"/>
    <w:rsid w:val="00D2790A"/>
    <w:rsid w:val="00D3004D"/>
    <w:rsid w:val="00D302DF"/>
    <w:rsid w:val="00D306A6"/>
    <w:rsid w:val="00D3253D"/>
    <w:rsid w:val="00D326CF"/>
    <w:rsid w:val="00D32D15"/>
    <w:rsid w:val="00D33BBB"/>
    <w:rsid w:val="00D33DC3"/>
    <w:rsid w:val="00D351C9"/>
    <w:rsid w:val="00D365C3"/>
    <w:rsid w:val="00D36F7C"/>
    <w:rsid w:val="00D37F3E"/>
    <w:rsid w:val="00D40367"/>
    <w:rsid w:val="00D40EF5"/>
    <w:rsid w:val="00D41D34"/>
    <w:rsid w:val="00D425A9"/>
    <w:rsid w:val="00D426B7"/>
    <w:rsid w:val="00D42A1A"/>
    <w:rsid w:val="00D43BEC"/>
    <w:rsid w:val="00D44351"/>
    <w:rsid w:val="00D449F1"/>
    <w:rsid w:val="00D45726"/>
    <w:rsid w:val="00D45D42"/>
    <w:rsid w:val="00D45E8C"/>
    <w:rsid w:val="00D45F23"/>
    <w:rsid w:val="00D46021"/>
    <w:rsid w:val="00D46210"/>
    <w:rsid w:val="00D466A7"/>
    <w:rsid w:val="00D4703D"/>
    <w:rsid w:val="00D47EE3"/>
    <w:rsid w:val="00D5072A"/>
    <w:rsid w:val="00D51506"/>
    <w:rsid w:val="00D51E27"/>
    <w:rsid w:val="00D52696"/>
    <w:rsid w:val="00D5285C"/>
    <w:rsid w:val="00D5300E"/>
    <w:rsid w:val="00D531A5"/>
    <w:rsid w:val="00D5335E"/>
    <w:rsid w:val="00D5392F"/>
    <w:rsid w:val="00D54BB1"/>
    <w:rsid w:val="00D5505E"/>
    <w:rsid w:val="00D56089"/>
    <w:rsid w:val="00D56738"/>
    <w:rsid w:val="00D56827"/>
    <w:rsid w:val="00D5777D"/>
    <w:rsid w:val="00D60197"/>
    <w:rsid w:val="00D6029C"/>
    <w:rsid w:val="00D60635"/>
    <w:rsid w:val="00D60F5A"/>
    <w:rsid w:val="00D614BF"/>
    <w:rsid w:val="00D61D1D"/>
    <w:rsid w:val="00D62847"/>
    <w:rsid w:val="00D630C1"/>
    <w:rsid w:val="00D636C3"/>
    <w:rsid w:val="00D642CA"/>
    <w:rsid w:val="00D6478E"/>
    <w:rsid w:val="00D64BD3"/>
    <w:rsid w:val="00D64FEA"/>
    <w:rsid w:val="00D65970"/>
    <w:rsid w:val="00D659FB"/>
    <w:rsid w:val="00D65B4D"/>
    <w:rsid w:val="00D66F0B"/>
    <w:rsid w:val="00D673D4"/>
    <w:rsid w:val="00D67A6E"/>
    <w:rsid w:val="00D67B13"/>
    <w:rsid w:val="00D67D6B"/>
    <w:rsid w:val="00D67EA4"/>
    <w:rsid w:val="00D706CB"/>
    <w:rsid w:val="00D70EE6"/>
    <w:rsid w:val="00D72196"/>
    <w:rsid w:val="00D72378"/>
    <w:rsid w:val="00D727A2"/>
    <w:rsid w:val="00D73593"/>
    <w:rsid w:val="00D745B0"/>
    <w:rsid w:val="00D753D0"/>
    <w:rsid w:val="00D75F82"/>
    <w:rsid w:val="00D76249"/>
    <w:rsid w:val="00D766DE"/>
    <w:rsid w:val="00D76E0D"/>
    <w:rsid w:val="00D7736E"/>
    <w:rsid w:val="00D809D3"/>
    <w:rsid w:val="00D80E89"/>
    <w:rsid w:val="00D82974"/>
    <w:rsid w:val="00D83213"/>
    <w:rsid w:val="00D83263"/>
    <w:rsid w:val="00D83B96"/>
    <w:rsid w:val="00D84533"/>
    <w:rsid w:val="00D846B6"/>
    <w:rsid w:val="00D84A16"/>
    <w:rsid w:val="00D84B4E"/>
    <w:rsid w:val="00D862D3"/>
    <w:rsid w:val="00D86462"/>
    <w:rsid w:val="00D86768"/>
    <w:rsid w:val="00D9064B"/>
    <w:rsid w:val="00D90698"/>
    <w:rsid w:val="00D9086D"/>
    <w:rsid w:val="00D90D74"/>
    <w:rsid w:val="00D91E60"/>
    <w:rsid w:val="00D9241E"/>
    <w:rsid w:val="00D936FB"/>
    <w:rsid w:val="00D9396B"/>
    <w:rsid w:val="00D93FD1"/>
    <w:rsid w:val="00D94793"/>
    <w:rsid w:val="00D953F6"/>
    <w:rsid w:val="00D95723"/>
    <w:rsid w:val="00D95732"/>
    <w:rsid w:val="00D97F20"/>
    <w:rsid w:val="00DA0823"/>
    <w:rsid w:val="00DA0A6E"/>
    <w:rsid w:val="00DA10DD"/>
    <w:rsid w:val="00DA1F44"/>
    <w:rsid w:val="00DA2083"/>
    <w:rsid w:val="00DA326F"/>
    <w:rsid w:val="00DA3843"/>
    <w:rsid w:val="00DA3E23"/>
    <w:rsid w:val="00DA42FF"/>
    <w:rsid w:val="00DA4452"/>
    <w:rsid w:val="00DA4769"/>
    <w:rsid w:val="00DA4B54"/>
    <w:rsid w:val="00DA4F24"/>
    <w:rsid w:val="00DA520A"/>
    <w:rsid w:val="00DA5A7E"/>
    <w:rsid w:val="00DA68E7"/>
    <w:rsid w:val="00DA6C1A"/>
    <w:rsid w:val="00DA7234"/>
    <w:rsid w:val="00DB15EA"/>
    <w:rsid w:val="00DB1934"/>
    <w:rsid w:val="00DB1DD0"/>
    <w:rsid w:val="00DB1E79"/>
    <w:rsid w:val="00DB29AF"/>
    <w:rsid w:val="00DB2BE0"/>
    <w:rsid w:val="00DB34DA"/>
    <w:rsid w:val="00DB354B"/>
    <w:rsid w:val="00DB441B"/>
    <w:rsid w:val="00DB4D2B"/>
    <w:rsid w:val="00DB5F34"/>
    <w:rsid w:val="00DB6CE7"/>
    <w:rsid w:val="00DB6D46"/>
    <w:rsid w:val="00DB78F3"/>
    <w:rsid w:val="00DC0FBE"/>
    <w:rsid w:val="00DC104F"/>
    <w:rsid w:val="00DC13C6"/>
    <w:rsid w:val="00DC1EE7"/>
    <w:rsid w:val="00DC253D"/>
    <w:rsid w:val="00DC2D13"/>
    <w:rsid w:val="00DC39F0"/>
    <w:rsid w:val="00DC3F24"/>
    <w:rsid w:val="00DC4CE0"/>
    <w:rsid w:val="00DC51C5"/>
    <w:rsid w:val="00DC560F"/>
    <w:rsid w:val="00DC596D"/>
    <w:rsid w:val="00DC598A"/>
    <w:rsid w:val="00DC5CF3"/>
    <w:rsid w:val="00DC68EF"/>
    <w:rsid w:val="00DC69C3"/>
    <w:rsid w:val="00DC6C1D"/>
    <w:rsid w:val="00DC6D6C"/>
    <w:rsid w:val="00DC74F1"/>
    <w:rsid w:val="00DC7767"/>
    <w:rsid w:val="00DD01C2"/>
    <w:rsid w:val="00DD1014"/>
    <w:rsid w:val="00DD1717"/>
    <w:rsid w:val="00DD1811"/>
    <w:rsid w:val="00DD238B"/>
    <w:rsid w:val="00DD242B"/>
    <w:rsid w:val="00DD2435"/>
    <w:rsid w:val="00DD5455"/>
    <w:rsid w:val="00DD56B9"/>
    <w:rsid w:val="00DD607B"/>
    <w:rsid w:val="00DD6083"/>
    <w:rsid w:val="00DD6559"/>
    <w:rsid w:val="00DD7393"/>
    <w:rsid w:val="00DD7E99"/>
    <w:rsid w:val="00DE0133"/>
    <w:rsid w:val="00DE0E7E"/>
    <w:rsid w:val="00DE29DE"/>
    <w:rsid w:val="00DE2A22"/>
    <w:rsid w:val="00DE37C0"/>
    <w:rsid w:val="00DE4C19"/>
    <w:rsid w:val="00DE5352"/>
    <w:rsid w:val="00DE53D1"/>
    <w:rsid w:val="00DE559D"/>
    <w:rsid w:val="00DE5D35"/>
    <w:rsid w:val="00DE62FB"/>
    <w:rsid w:val="00DE6637"/>
    <w:rsid w:val="00DE6C57"/>
    <w:rsid w:val="00DE6EDF"/>
    <w:rsid w:val="00DE732D"/>
    <w:rsid w:val="00DF0618"/>
    <w:rsid w:val="00DF0A63"/>
    <w:rsid w:val="00DF2015"/>
    <w:rsid w:val="00DF226A"/>
    <w:rsid w:val="00DF2419"/>
    <w:rsid w:val="00DF2611"/>
    <w:rsid w:val="00DF2718"/>
    <w:rsid w:val="00DF2B22"/>
    <w:rsid w:val="00DF2D1E"/>
    <w:rsid w:val="00DF347D"/>
    <w:rsid w:val="00DF357F"/>
    <w:rsid w:val="00DF38D3"/>
    <w:rsid w:val="00DF3DEA"/>
    <w:rsid w:val="00DF4332"/>
    <w:rsid w:val="00DF501F"/>
    <w:rsid w:val="00DF5969"/>
    <w:rsid w:val="00DF6317"/>
    <w:rsid w:val="00DF6552"/>
    <w:rsid w:val="00DF68A1"/>
    <w:rsid w:val="00DF7BD2"/>
    <w:rsid w:val="00DF7BE3"/>
    <w:rsid w:val="00E005B3"/>
    <w:rsid w:val="00E00784"/>
    <w:rsid w:val="00E02275"/>
    <w:rsid w:val="00E02BC5"/>
    <w:rsid w:val="00E03130"/>
    <w:rsid w:val="00E0318F"/>
    <w:rsid w:val="00E035CB"/>
    <w:rsid w:val="00E037C7"/>
    <w:rsid w:val="00E0383F"/>
    <w:rsid w:val="00E03A8C"/>
    <w:rsid w:val="00E0480A"/>
    <w:rsid w:val="00E04E62"/>
    <w:rsid w:val="00E05233"/>
    <w:rsid w:val="00E07265"/>
    <w:rsid w:val="00E07668"/>
    <w:rsid w:val="00E07FF9"/>
    <w:rsid w:val="00E10518"/>
    <w:rsid w:val="00E1129F"/>
    <w:rsid w:val="00E124FB"/>
    <w:rsid w:val="00E13DE1"/>
    <w:rsid w:val="00E14708"/>
    <w:rsid w:val="00E14D69"/>
    <w:rsid w:val="00E15CBC"/>
    <w:rsid w:val="00E15ED5"/>
    <w:rsid w:val="00E1715C"/>
    <w:rsid w:val="00E17259"/>
    <w:rsid w:val="00E17D7A"/>
    <w:rsid w:val="00E205BE"/>
    <w:rsid w:val="00E2210C"/>
    <w:rsid w:val="00E22314"/>
    <w:rsid w:val="00E2332D"/>
    <w:rsid w:val="00E24633"/>
    <w:rsid w:val="00E24E6A"/>
    <w:rsid w:val="00E25188"/>
    <w:rsid w:val="00E257C1"/>
    <w:rsid w:val="00E263F0"/>
    <w:rsid w:val="00E26480"/>
    <w:rsid w:val="00E264FE"/>
    <w:rsid w:val="00E26917"/>
    <w:rsid w:val="00E26D8F"/>
    <w:rsid w:val="00E2769A"/>
    <w:rsid w:val="00E279FA"/>
    <w:rsid w:val="00E3087E"/>
    <w:rsid w:val="00E30C95"/>
    <w:rsid w:val="00E31D64"/>
    <w:rsid w:val="00E320CF"/>
    <w:rsid w:val="00E323D0"/>
    <w:rsid w:val="00E32A1F"/>
    <w:rsid w:val="00E34407"/>
    <w:rsid w:val="00E34604"/>
    <w:rsid w:val="00E34B9A"/>
    <w:rsid w:val="00E35620"/>
    <w:rsid w:val="00E36668"/>
    <w:rsid w:val="00E372EB"/>
    <w:rsid w:val="00E40613"/>
    <w:rsid w:val="00E407E4"/>
    <w:rsid w:val="00E40E40"/>
    <w:rsid w:val="00E41BFC"/>
    <w:rsid w:val="00E42041"/>
    <w:rsid w:val="00E42A94"/>
    <w:rsid w:val="00E43214"/>
    <w:rsid w:val="00E4350D"/>
    <w:rsid w:val="00E43951"/>
    <w:rsid w:val="00E449A4"/>
    <w:rsid w:val="00E44F0D"/>
    <w:rsid w:val="00E45DE3"/>
    <w:rsid w:val="00E46520"/>
    <w:rsid w:val="00E46CEC"/>
    <w:rsid w:val="00E471E1"/>
    <w:rsid w:val="00E50313"/>
    <w:rsid w:val="00E5043F"/>
    <w:rsid w:val="00E50BF1"/>
    <w:rsid w:val="00E5111A"/>
    <w:rsid w:val="00E51209"/>
    <w:rsid w:val="00E519D7"/>
    <w:rsid w:val="00E526AE"/>
    <w:rsid w:val="00E526B0"/>
    <w:rsid w:val="00E53872"/>
    <w:rsid w:val="00E5418C"/>
    <w:rsid w:val="00E54A38"/>
    <w:rsid w:val="00E55925"/>
    <w:rsid w:val="00E56007"/>
    <w:rsid w:val="00E5688E"/>
    <w:rsid w:val="00E5711D"/>
    <w:rsid w:val="00E5777F"/>
    <w:rsid w:val="00E60150"/>
    <w:rsid w:val="00E60F1B"/>
    <w:rsid w:val="00E61860"/>
    <w:rsid w:val="00E621C4"/>
    <w:rsid w:val="00E62538"/>
    <w:rsid w:val="00E629A1"/>
    <w:rsid w:val="00E62A5E"/>
    <w:rsid w:val="00E63501"/>
    <w:rsid w:val="00E63595"/>
    <w:rsid w:val="00E64F65"/>
    <w:rsid w:val="00E65724"/>
    <w:rsid w:val="00E65B01"/>
    <w:rsid w:val="00E66157"/>
    <w:rsid w:val="00E6639E"/>
    <w:rsid w:val="00E66D91"/>
    <w:rsid w:val="00E67034"/>
    <w:rsid w:val="00E6727A"/>
    <w:rsid w:val="00E7002B"/>
    <w:rsid w:val="00E7052F"/>
    <w:rsid w:val="00E711A2"/>
    <w:rsid w:val="00E7126F"/>
    <w:rsid w:val="00E713F9"/>
    <w:rsid w:val="00E714DB"/>
    <w:rsid w:val="00E726C4"/>
    <w:rsid w:val="00E735C9"/>
    <w:rsid w:val="00E73D09"/>
    <w:rsid w:val="00E757CB"/>
    <w:rsid w:val="00E75D91"/>
    <w:rsid w:val="00E76107"/>
    <w:rsid w:val="00E762F6"/>
    <w:rsid w:val="00E7702F"/>
    <w:rsid w:val="00E77346"/>
    <w:rsid w:val="00E77ED7"/>
    <w:rsid w:val="00E77FEA"/>
    <w:rsid w:val="00E80304"/>
    <w:rsid w:val="00E80A8B"/>
    <w:rsid w:val="00E81E29"/>
    <w:rsid w:val="00E820AB"/>
    <w:rsid w:val="00E82C42"/>
    <w:rsid w:val="00E83490"/>
    <w:rsid w:val="00E834AB"/>
    <w:rsid w:val="00E83982"/>
    <w:rsid w:val="00E83A3A"/>
    <w:rsid w:val="00E844F2"/>
    <w:rsid w:val="00E8497A"/>
    <w:rsid w:val="00E85435"/>
    <w:rsid w:val="00E85586"/>
    <w:rsid w:val="00E9016D"/>
    <w:rsid w:val="00E9037D"/>
    <w:rsid w:val="00E9086D"/>
    <w:rsid w:val="00E91636"/>
    <w:rsid w:val="00E92F52"/>
    <w:rsid w:val="00E930AA"/>
    <w:rsid w:val="00E9331C"/>
    <w:rsid w:val="00E9399D"/>
    <w:rsid w:val="00E93BE8"/>
    <w:rsid w:val="00E96B53"/>
    <w:rsid w:val="00E96C99"/>
    <w:rsid w:val="00E96D7A"/>
    <w:rsid w:val="00EA15A0"/>
    <w:rsid w:val="00EA1BF9"/>
    <w:rsid w:val="00EA1EF7"/>
    <w:rsid w:val="00EA2366"/>
    <w:rsid w:val="00EA25F9"/>
    <w:rsid w:val="00EA322A"/>
    <w:rsid w:val="00EA348E"/>
    <w:rsid w:val="00EA420B"/>
    <w:rsid w:val="00EA46C9"/>
    <w:rsid w:val="00EA4761"/>
    <w:rsid w:val="00EA48C4"/>
    <w:rsid w:val="00EA4F33"/>
    <w:rsid w:val="00EA5A0E"/>
    <w:rsid w:val="00EA5C72"/>
    <w:rsid w:val="00EA5E6B"/>
    <w:rsid w:val="00EA61DC"/>
    <w:rsid w:val="00EA6404"/>
    <w:rsid w:val="00EA74E3"/>
    <w:rsid w:val="00EB0064"/>
    <w:rsid w:val="00EB0098"/>
    <w:rsid w:val="00EB06A7"/>
    <w:rsid w:val="00EB0925"/>
    <w:rsid w:val="00EB166A"/>
    <w:rsid w:val="00EB399A"/>
    <w:rsid w:val="00EB3A18"/>
    <w:rsid w:val="00EB3F08"/>
    <w:rsid w:val="00EB47C3"/>
    <w:rsid w:val="00EB4DF2"/>
    <w:rsid w:val="00EB4FF1"/>
    <w:rsid w:val="00EB5D3E"/>
    <w:rsid w:val="00EB5D57"/>
    <w:rsid w:val="00EB5D6B"/>
    <w:rsid w:val="00EB5DB6"/>
    <w:rsid w:val="00EB6DD3"/>
    <w:rsid w:val="00EB6E7C"/>
    <w:rsid w:val="00EB6E7D"/>
    <w:rsid w:val="00EB70E7"/>
    <w:rsid w:val="00EB78FC"/>
    <w:rsid w:val="00EC0287"/>
    <w:rsid w:val="00EC121B"/>
    <w:rsid w:val="00EC13B4"/>
    <w:rsid w:val="00EC19BB"/>
    <w:rsid w:val="00EC1D67"/>
    <w:rsid w:val="00EC369A"/>
    <w:rsid w:val="00EC452A"/>
    <w:rsid w:val="00EC6286"/>
    <w:rsid w:val="00EC6295"/>
    <w:rsid w:val="00EC636D"/>
    <w:rsid w:val="00EC6416"/>
    <w:rsid w:val="00EC653C"/>
    <w:rsid w:val="00EC656C"/>
    <w:rsid w:val="00EC6723"/>
    <w:rsid w:val="00EC6D62"/>
    <w:rsid w:val="00EC7258"/>
    <w:rsid w:val="00ED0408"/>
    <w:rsid w:val="00ED0773"/>
    <w:rsid w:val="00ED0FD0"/>
    <w:rsid w:val="00ED1570"/>
    <w:rsid w:val="00ED18B2"/>
    <w:rsid w:val="00ED1941"/>
    <w:rsid w:val="00ED1A9D"/>
    <w:rsid w:val="00ED1E8A"/>
    <w:rsid w:val="00ED2BCA"/>
    <w:rsid w:val="00ED2C44"/>
    <w:rsid w:val="00ED450A"/>
    <w:rsid w:val="00ED4A74"/>
    <w:rsid w:val="00ED5134"/>
    <w:rsid w:val="00ED5A6A"/>
    <w:rsid w:val="00ED759C"/>
    <w:rsid w:val="00EE01FE"/>
    <w:rsid w:val="00EE04E3"/>
    <w:rsid w:val="00EE0B63"/>
    <w:rsid w:val="00EE24AD"/>
    <w:rsid w:val="00EE4277"/>
    <w:rsid w:val="00EE4CE5"/>
    <w:rsid w:val="00EE4EA1"/>
    <w:rsid w:val="00EE53A5"/>
    <w:rsid w:val="00EE5AA6"/>
    <w:rsid w:val="00EE6C6D"/>
    <w:rsid w:val="00EE6CD2"/>
    <w:rsid w:val="00EE72F5"/>
    <w:rsid w:val="00EE7B19"/>
    <w:rsid w:val="00EF0115"/>
    <w:rsid w:val="00EF1749"/>
    <w:rsid w:val="00EF1898"/>
    <w:rsid w:val="00EF20F6"/>
    <w:rsid w:val="00EF22BD"/>
    <w:rsid w:val="00EF24C4"/>
    <w:rsid w:val="00EF397D"/>
    <w:rsid w:val="00EF49ED"/>
    <w:rsid w:val="00EF4FBC"/>
    <w:rsid w:val="00EF6C4C"/>
    <w:rsid w:val="00EF6E2A"/>
    <w:rsid w:val="00EF7637"/>
    <w:rsid w:val="00F0071C"/>
    <w:rsid w:val="00F0246B"/>
    <w:rsid w:val="00F032B0"/>
    <w:rsid w:val="00F03F31"/>
    <w:rsid w:val="00F055BB"/>
    <w:rsid w:val="00F07540"/>
    <w:rsid w:val="00F07CDC"/>
    <w:rsid w:val="00F10AAF"/>
    <w:rsid w:val="00F10DD5"/>
    <w:rsid w:val="00F13458"/>
    <w:rsid w:val="00F13686"/>
    <w:rsid w:val="00F13E6C"/>
    <w:rsid w:val="00F13EBB"/>
    <w:rsid w:val="00F14CD2"/>
    <w:rsid w:val="00F14FD6"/>
    <w:rsid w:val="00F16F8D"/>
    <w:rsid w:val="00F17D64"/>
    <w:rsid w:val="00F20252"/>
    <w:rsid w:val="00F20A5C"/>
    <w:rsid w:val="00F216C5"/>
    <w:rsid w:val="00F21B6B"/>
    <w:rsid w:val="00F222F2"/>
    <w:rsid w:val="00F230D4"/>
    <w:rsid w:val="00F23654"/>
    <w:rsid w:val="00F2427D"/>
    <w:rsid w:val="00F246BD"/>
    <w:rsid w:val="00F247E7"/>
    <w:rsid w:val="00F25AD5"/>
    <w:rsid w:val="00F25E7B"/>
    <w:rsid w:val="00F2608C"/>
    <w:rsid w:val="00F263AF"/>
    <w:rsid w:val="00F3110C"/>
    <w:rsid w:val="00F312E8"/>
    <w:rsid w:val="00F3160C"/>
    <w:rsid w:val="00F31932"/>
    <w:rsid w:val="00F32A83"/>
    <w:rsid w:val="00F32F92"/>
    <w:rsid w:val="00F340E2"/>
    <w:rsid w:val="00F34CFE"/>
    <w:rsid w:val="00F3516C"/>
    <w:rsid w:val="00F3518A"/>
    <w:rsid w:val="00F35858"/>
    <w:rsid w:val="00F35CE7"/>
    <w:rsid w:val="00F37211"/>
    <w:rsid w:val="00F373C9"/>
    <w:rsid w:val="00F37405"/>
    <w:rsid w:val="00F375B4"/>
    <w:rsid w:val="00F375EC"/>
    <w:rsid w:val="00F4119D"/>
    <w:rsid w:val="00F41723"/>
    <w:rsid w:val="00F41E15"/>
    <w:rsid w:val="00F4340F"/>
    <w:rsid w:val="00F43524"/>
    <w:rsid w:val="00F438D7"/>
    <w:rsid w:val="00F44BBF"/>
    <w:rsid w:val="00F44DF0"/>
    <w:rsid w:val="00F45175"/>
    <w:rsid w:val="00F467B5"/>
    <w:rsid w:val="00F4694E"/>
    <w:rsid w:val="00F50065"/>
    <w:rsid w:val="00F5014B"/>
    <w:rsid w:val="00F50447"/>
    <w:rsid w:val="00F504DD"/>
    <w:rsid w:val="00F505FF"/>
    <w:rsid w:val="00F51155"/>
    <w:rsid w:val="00F512C3"/>
    <w:rsid w:val="00F513CF"/>
    <w:rsid w:val="00F52D20"/>
    <w:rsid w:val="00F53846"/>
    <w:rsid w:val="00F55305"/>
    <w:rsid w:val="00F55701"/>
    <w:rsid w:val="00F558E1"/>
    <w:rsid w:val="00F55B35"/>
    <w:rsid w:val="00F55F3A"/>
    <w:rsid w:val="00F5687E"/>
    <w:rsid w:val="00F60579"/>
    <w:rsid w:val="00F61B5F"/>
    <w:rsid w:val="00F6235D"/>
    <w:rsid w:val="00F62647"/>
    <w:rsid w:val="00F6282D"/>
    <w:rsid w:val="00F62C2B"/>
    <w:rsid w:val="00F6360E"/>
    <w:rsid w:val="00F654EA"/>
    <w:rsid w:val="00F6560F"/>
    <w:rsid w:val="00F65857"/>
    <w:rsid w:val="00F666AA"/>
    <w:rsid w:val="00F670F6"/>
    <w:rsid w:val="00F67737"/>
    <w:rsid w:val="00F678F4"/>
    <w:rsid w:val="00F67A24"/>
    <w:rsid w:val="00F67BB8"/>
    <w:rsid w:val="00F70BAA"/>
    <w:rsid w:val="00F70EF5"/>
    <w:rsid w:val="00F71562"/>
    <w:rsid w:val="00F7229C"/>
    <w:rsid w:val="00F7365F"/>
    <w:rsid w:val="00F7468D"/>
    <w:rsid w:val="00F7585F"/>
    <w:rsid w:val="00F759DA"/>
    <w:rsid w:val="00F75E9D"/>
    <w:rsid w:val="00F7622F"/>
    <w:rsid w:val="00F763A1"/>
    <w:rsid w:val="00F76CA4"/>
    <w:rsid w:val="00F777C6"/>
    <w:rsid w:val="00F80259"/>
    <w:rsid w:val="00F81C30"/>
    <w:rsid w:val="00F81C78"/>
    <w:rsid w:val="00F838A7"/>
    <w:rsid w:val="00F842F3"/>
    <w:rsid w:val="00F8458E"/>
    <w:rsid w:val="00F84A37"/>
    <w:rsid w:val="00F84A5A"/>
    <w:rsid w:val="00F85619"/>
    <w:rsid w:val="00F85A2A"/>
    <w:rsid w:val="00F85DE8"/>
    <w:rsid w:val="00F86052"/>
    <w:rsid w:val="00F86337"/>
    <w:rsid w:val="00F8790F"/>
    <w:rsid w:val="00F87E2A"/>
    <w:rsid w:val="00F90891"/>
    <w:rsid w:val="00F9155C"/>
    <w:rsid w:val="00F91A16"/>
    <w:rsid w:val="00F91AD9"/>
    <w:rsid w:val="00F91EAD"/>
    <w:rsid w:val="00F922EE"/>
    <w:rsid w:val="00F9369E"/>
    <w:rsid w:val="00F94050"/>
    <w:rsid w:val="00F9407F"/>
    <w:rsid w:val="00F944FE"/>
    <w:rsid w:val="00F94B7B"/>
    <w:rsid w:val="00F94CE7"/>
    <w:rsid w:val="00F954F8"/>
    <w:rsid w:val="00F955F8"/>
    <w:rsid w:val="00F95C97"/>
    <w:rsid w:val="00F95D12"/>
    <w:rsid w:val="00F9624C"/>
    <w:rsid w:val="00F97AEF"/>
    <w:rsid w:val="00F97EA2"/>
    <w:rsid w:val="00FA0161"/>
    <w:rsid w:val="00FA1C61"/>
    <w:rsid w:val="00FA230A"/>
    <w:rsid w:val="00FA2CDA"/>
    <w:rsid w:val="00FA3F9E"/>
    <w:rsid w:val="00FA4B6A"/>
    <w:rsid w:val="00FA59EB"/>
    <w:rsid w:val="00FA5B85"/>
    <w:rsid w:val="00FA5E8A"/>
    <w:rsid w:val="00FA7932"/>
    <w:rsid w:val="00FA7F39"/>
    <w:rsid w:val="00FB0702"/>
    <w:rsid w:val="00FB254D"/>
    <w:rsid w:val="00FB2E35"/>
    <w:rsid w:val="00FB30FE"/>
    <w:rsid w:val="00FB37B4"/>
    <w:rsid w:val="00FB3C58"/>
    <w:rsid w:val="00FB4D75"/>
    <w:rsid w:val="00FB5B5C"/>
    <w:rsid w:val="00FB5C0F"/>
    <w:rsid w:val="00FB61BB"/>
    <w:rsid w:val="00FB639A"/>
    <w:rsid w:val="00FC0D0F"/>
    <w:rsid w:val="00FC133F"/>
    <w:rsid w:val="00FC1A40"/>
    <w:rsid w:val="00FC2AB4"/>
    <w:rsid w:val="00FC32D9"/>
    <w:rsid w:val="00FC32FB"/>
    <w:rsid w:val="00FC3566"/>
    <w:rsid w:val="00FC3E5F"/>
    <w:rsid w:val="00FC3F73"/>
    <w:rsid w:val="00FC4279"/>
    <w:rsid w:val="00FC4AE1"/>
    <w:rsid w:val="00FC4BEF"/>
    <w:rsid w:val="00FC4CA6"/>
    <w:rsid w:val="00FC4E64"/>
    <w:rsid w:val="00FC50F8"/>
    <w:rsid w:val="00FC5218"/>
    <w:rsid w:val="00FC5680"/>
    <w:rsid w:val="00FC58B9"/>
    <w:rsid w:val="00FC614A"/>
    <w:rsid w:val="00FC68C9"/>
    <w:rsid w:val="00FC7EEC"/>
    <w:rsid w:val="00FD1334"/>
    <w:rsid w:val="00FD3663"/>
    <w:rsid w:val="00FD388F"/>
    <w:rsid w:val="00FD58EF"/>
    <w:rsid w:val="00FD5A6C"/>
    <w:rsid w:val="00FD6D04"/>
    <w:rsid w:val="00FD78C8"/>
    <w:rsid w:val="00FE0085"/>
    <w:rsid w:val="00FE0868"/>
    <w:rsid w:val="00FE15BD"/>
    <w:rsid w:val="00FE1767"/>
    <w:rsid w:val="00FE179E"/>
    <w:rsid w:val="00FE195F"/>
    <w:rsid w:val="00FE2227"/>
    <w:rsid w:val="00FE2D5F"/>
    <w:rsid w:val="00FE31A0"/>
    <w:rsid w:val="00FE35F9"/>
    <w:rsid w:val="00FE408D"/>
    <w:rsid w:val="00FE4603"/>
    <w:rsid w:val="00FE4DA2"/>
    <w:rsid w:val="00FE4EE7"/>
    <w:rsid w:val="00FE572D"/>
    <w:rsid w:val="00FE5B10"/>
    <w:rsid w:val="00FF04BA"/>
    <w:rsid w:val="00FF05FE"/>
    <w:rsid w:val="00FF0624"/>
    <w:rsid w:val="00FF1377"/>
    <w:rsid w:val="00FF1E59"/>
    <w:rsid w:val="00FF1FE1"/>
    <w:rsid w:val="00FF2269"/>
    <w:rsid w:val="00FF24D6"/>
    <w:rsid w:val="00FF3484"/>
    <w:rsid w:val="00FF3D28"/>
    <w:rsid w:val="00FF6E90"/>
    <w:rsid w:val="00FF7CA2"/>
    <w:rsid w:val="00FF7DDD"/>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8063C"/>
  <w15:chartTrackingRefBased/>
  <w15:docId w15:val="{FF459E6E-E1F0-4FFE-B0F1-B2ABD0BFD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lang w:val="en-GB"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777F"/>
    <w:pPr>
      <w:spacing w:after="0" w:line="360" w:lineRule="auto"/>
      <w:jc w:val="both"/>
    </w:pPr>
    <w:rPr>
      <w:kern w:val="0"/>
      <w:szCs w:val="22"/>
      <w:lang w:val="en-US" w:eastAsia="zh-CN" w:bidi="ar-SA"/>
      <w14:ligatures w14:val="none"/>
    </w:rPr>
  </w:style>
  <w:style w:type="paragraph" w:styleId="1">
    <w:name w:val="heading 1"/>
    <w:basedOn w:val="a0"/>
    <w:next w:val="a0"/>
    <w:link w:val="10"/>
    <w:uiPriority w:val="9"/>
    <w:qFormat/>
    <w:rsid w:val="00D40EF5"/>
    <w:pPr>
      <w:keepNext/>
      <w:keepLines/>
      <w:numPr>
        <w:numId w:val="6"/>
      </w:numPr>
      <w:spacing w:before="480"/>
      <w:outlineLvl w:val="0"/>
    </w:pPr>
    <w:rPr>
      <w:rFonts w:ascii="Arial" w:eastAsiaTheme="majorEastAsia" w:hAnsi="Arial" w:cs="Arial"/>
      <w:b/>
      <w:bCs/>
      <w:sz w:val="24"/>
      <w:szCs w:val="24"/>
      <w:lang w:val="en-GB" w:eastAsia="en-US"/>
    </w:rPr>
  </w:style>
  <w:style w:type="paragraph" w:styleId="2">
    <w:name w:val="heading 2"/>
    <w:basedOn w:val="a0"/>
    <w:next w:val="a0"/>
    <w:link w:val="20"/>
    <w:uiPriority w:val="9"/>
    <w:unhideWhenUsed/>
    <w:qFormat/>
    <w:rsid w:val="00D40EF5"/>
    <w:pPr>
      <w:keepNext/>
      <w:keepLines/>
      <w:numPr>
        <w:ilvl w:val="1"/>
        <w:numId w:val="6"/>
      </w:numPr>
      <w:outlineLvl w:val="1"/>
    </w:pPr>
    <w:rPr>
      <w:rFonts w:ascii="Arial" w:eastAsiaTheme="majorEastAsia" w:hAnsi="Arial" w:cs="Arial"/>
      <w:b/>
      <w:bCs/>
      <w:sz w:val="24"/>
      <w:szCs w:val="24"/>
    </w:rPr>
  </w:style>
  <w:style w:type="paragraph" w:styleId="3">
    <w:name w:val="heading 3"/>
    <w:basedOn w:val="a0"/>
    <w:next w:val="a0"/>
    <w:link w:val="30"/>
    <w:uiPriority w:val="9"/>
    <w:unhideWhenUsed/>
    <w:qFormat/>
    <w:rsid w:val="00D40EF5"/>
    <w:pPr>
      <w:keepNext/>
      <w:keepLines/>
      <w:numPr>
        <w:ilvl w:val="2"/>
        <w:numId w:val="6"/>
      </w:numPr>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iPriority w:val="9"/>
    <w:unhideWhenUsed/>
    <w:qFormat/>
    <w:rsid w:val="00D40EF5"/>
    <w:pPr>
      <w:keepNext/>
      <w:keepLines/>
      <w:numPr>
        <w:ilvl w:val="3"/>
        <w:numId w:val="6"/>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unhideWhenUsed/>
    <w:qFormat/>
    <w:rsid w:val="00D40EF5"/>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D40EF5"/>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D40EF5"/>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semiHidden/>
    <w:unhideWhenUsed/>
    <w:qFormat/>
    <w:rsid w:val="00D40EF5"/>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D40EF5"/>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D40EF5"/>
    <w:rPr>
      <w:rFonts w:ascii="Arial" w:eastAsiaTheme="majorEastAsia" w:hAnsi="Arial" w:cs="Arial"/>
      <w:b/>
      <w:bCs/>
      <w:kern w:val="0"/>
      <w:sz w:val="24"/>
      <w:szCs w:val="24"/>
      <w:lang w:val="en-GB" w:bidi="ar-SA"/>
      <w14:ligatures w14:val="none"/>
    </w:rPr>
  </w:style>
  <w:style w:type="character" w:customStyle="1" w:styleId="20">
    <w:name w:val="标题 2 字符"/>
    <w:basedOn w:val="a1"/>
    <w:link w:val="2"/>
    <w:uiPriority w:val="9"/>
    <w:rsid w:val="00D40EF5"/>
    <w:rPr>
      <w:rFonts w:ascii="Arial" w:eastAsiaTheme="majorEastAsia" w:hAnsi="Arial" w:cs="Arial"/>
      <w:b/>
      <w:bCs/>
      <w:kern w:val="0"/>
      <w:sz w:val="24"/>
      <w:szCs w:val="24"/>
      <w:lang w:val="en-US" w:eastAsia="zh-CN" w:bidi="ar-SA"/>
      <w14:ligatures w14:val="none"/>
    </w:rPr>
  </w:style>
  <w:style w:type="character" w:customStyle="1" w:styleId="30">
    <w:name w:val="标题 3 字符"/>
    <w:basedOn w:val="a1"/>
    <w:link w:val="3"/>
    <w:uiPriority w:val="9"/>
    <w:rsid w:val="00D40EF5"/>
    <w:rPr>
      <w:rFonts w:asciiTheme="majorHAnsi" w:eastAsiaTheme="majorEastAsia" w:hAnsiTheme="majorHAnsi" w:cstheme="majorBidi"/>
      <w:color w:val="1F3763" w:themeColor="accent1" w:themeShade="7F"/>
      <w:kern w:val="0"/>
      <w:sz w:val="24"/>
      <w:szCs w:val="24"/>
      <w:lang w:val="en-US" w:eastAsia="zh-CN" w:bidi="ar-SA"/>
      <w14:ligatures w14:val="none"/>
    </w:rPr>
  </w:style>
  <w:style w:type="character" w:customStyle="1" w:styleId="40">
    <w:name w:val="标题 4 字符"/>
    <w:basedOn w:val="a1"/>
    <w:link w:val="4"/>
    <w:uiPriority w:val="9"/>
    <w:rsid w:val="00D40EF5"/>
    <w:rPr>
      <w:rFonts w:asciiTheme="majorHAnsi" w:eastAsiaTheme="majorEastAsia" w:hAnsiTheme="majorHAnsi" w:cstheme="majorBidi"/>
      <w:i/>
      <w:iCs/>
      <w:color w:val="2F5496" w:themeColor="accent1" w:themeShade="BF"/>
      <w:kern w:val="0"/>
      <w:szCs w:val="22"/>
      <w:lang w:val="en-US" w:eastAsia="zh-CN" w:bidi="ar-SA"/>
      <w14:ligatures w14:val="none"/>
    </w:rPr>
  </w:style>
  <w:style w:type="character" w:customStyle="1" w:styleId="50">
    <w:name w:val="标题 5 字符"/>
    <w:basedOn w:val="a1"/>
    <w:link w:val="5"/>
    <w:uiPriority w:val="9"/>
    <w:rsid w:val="00D40EF5"/>
    <w:rPr>
      <w:rFonts w:asciiTheme="majorHAnsi" w:eastAsiaTheme="majorEastAsia" w:hAnsiTheme="majorHAnsi" w:cstheme="majorBidi"/>
      <w:color w:val="2F5496" w:themeColor="accent1" w:themeShade="BF"/>
      <w:kern w:val="0"/>
      <w:szCs w:val="22"/>
      <w:lang w:val="en-US" w:eastAsia="zh-CN" w:bidi="ar-SA"/>
      <w14:ligatures w14:val="none"/>
    </w:rPr>
  </w:style>
  <w:style w:type="character" w:customStyle="1" w:styleId="60">
    <w:name w:val="标题 6 字符"/>
    <w:basedOn w:val="a1"/>
    <w:link w:val="6"/>
    <w:uiPriority w:val="9"/>
    <w:semiHidden/>
    <w:rsid w:val="00D40EF5"/>
    <w:rPr>
      <w:rFonts w:asciiTheme="majorHAnsi" w:eastAsiaTheme="majorEastAsia" w:hAnsiTheme="majorHAnsi" w:cstheme="majorBidi"/>
      <w:color w:val="1F3763" w:themeColor="accent1" w:themeShade="7F"/>
      <w:kern w:val="0"/>
      <w:szCs w:val="22"/>
      <w:lang w:val="en-US" w:eastAsia="zh-CN" w:bidi="ar-SA"/>
      <w14:ligatures w14:val="none"/>
    </w:rPr>
  </w:style>
  <w:style w:type="character" w:customStyle="1" w:styleId="70">
    <w:name w:val="标题 7 字符"/>
    <w:basedOn w:val="a1"/>
    <w:link w:val="7"/>
    <w:uiPriority w:val="9"/>
    <w:semiHidden/>
    <w:rsid w:val="00D40EF5"/>
    <w:rPr>
      <w:rFonts w:asciiTheme="majorHAnsi" w:eastAsiaTheme="majorEastAsia" w:hAnsiTheme="majorHAnsi" w:cstheme="majorBidi"/>
      <w:i/>
      <w:iCs/>
      <w:color w:val="1F3763" w:themeColor="accent1" w:themeShade="7F"/>
      <w:kern w:val="0"/>
      <w:szCs w:val="22"/>
      <w:lang w:val="en-US" w:eastAsia="zh-CN" w:bidi="ar-SA"/>
      <w14:ligatures w14:val="none"/>
    </w:rPr>
  </w:style>
  <w:style w:type="character" w:customStyle="1" w:styleId="80">
    <w:name w:val="标题 8 字符"/>
    <w:basedOn w:val="a1"/>
    <w:link w:val="8"/>
    <w:uiPriority w:val="9"/>
    <w:semiHidden/>
    <w:rsid w:val="00D40EF5"/>
    <w:rPr>
      <w:rFonts w:asciiTheme="majorHAnsi" w:eastAsiaTheme="majorEastAsia" w:hAnsiTheme="majorHAnsi" w:cstheme="majorBidi"/>
      <w:color w:val="272727" w:themeColor="text1" w:themeTint="D8"/>
      <w:kern w:val="0"/>
      <w:sz w:val="21"/>
      <w:szCs w:val="21"/>
      <w:lang w:val="en-US" w:eastAsia="zh-CN" w:bidi="ar-SA"/>
      <w14:ligatures w14:val="none"/>
    </w:rPr>
  </w:style>
  <w:style w:type="character" w:customStyle="1" w:styleId="90">
    <w:name w:val="标题 9 字符"/>
    <w:basedOn w:val="a1"/>
    <w:link w:val="9"/>
    <w:uiPriority w:val="9"/>
    <w:semiHidden/>
    <w:rsid w:val="00D40EF5"/>
    <w:rPr>
      <w:rFonts w:asciiTheme="majorHAnsi" w:eastAsiaTheme="majorEastAsia" w:hAnsiTheme="majorHAnsi" w:cstheme="majorBidi"/>
      <w:i/>
      <w:iCs/>
      <w:color w:val="272727" w:themeColor="text1" w:themeTint="D8"/>
      <w:kern w:val="0"/>
      <w:sz w:val="21"/>
      <w:szCs w:val="21"/>
      <w:lang w:val="en-US" w:eastAsia="zh-CN" w:bidi="ar-SA"/>
      <w14:ligatures w14:val="none"/>
    </w:rPr>
  </w:style>
  <w:style w:type="character" w:styleId="a4">
    <w:name w:val="Hyperlink"/>
    <w:basedOn w:val="a1"/>
    <w:uiPriority w:val="99"/>
    <w:unhideWhenUsed/>
    <w:rsid w:val="00D40EF5"/>
    <w:rPr>
      <w:color w:val="0563C1" w:themeColor="hyperlink"/>
      <w:u w:val="single"/>
    </w:rPr>
  </w:style>
  <w:style w:type="paragraph" w:styleId="TOC1">
    <w:name w:val="toc 1"/>
    <w:basedOn w:val="a0"/>
    <w:next w:val="a0"/>
    <w:autoRedefine/>
    <w:uiPriority w:val="39"/>
    <w:unhideWhenUsed/>
    <w:rsid w:val="006F3A09"/>
    <w:pPr>
      <w:tabs>
        <w:tab w:val="left" w:pos="720"/>
        <w:tab w:val="right" w:leader="dot" w:pos="9060"/>
      </w:tabs>
      <w:spacing w:before="360"/>
    </w:pPr>
    <w:rPr>
      <w:rFonts w:asciiTheme="majorHAnsi" w:hAnsiTheme="majorHAnsi"/>
      <w:b/>
      <w:bCs/>
      <w:caps/>
      <w:sz w:val="24"/>
      <w:szCs w:val="24"/>
    </w:rPr>
  </w:style>
  <w:style w:type="paragraph" w:styleId="TOC2">
    <w:name w:val="toc 2"/>
    <w:basedOn w:val="a0"/>
    <w:next w:val="a0"/>
    <w:autoRedefine/>
    <w:uiPriority w:val="39"/>
    <w:unhideWhenUsed/>
    <w:rsid w:val="00D40EF5"/>
    <w:pPr>
      <w:tabs>
        <w:tab w:val="left" w:pos="270"/>
        <w:tab w:val="left" w:pos="660"/>
        <w:tab w:val="right" w:leader="dot" w:pos="9060"/>
      </w:tabs>
    </w:pPr>
    <w:rPr>
      <w:rFonts w:ascii="Arial" w:hAnsi="Arial" w:cs="Arial"/>
      <w:b/>
      <w:bCs/>
      <w:noProof/>
    </w:rPr>
  </w:style>
  <w:style w:type="character" w:customStyle="1" w:styleId="a5">
    <w:name w:val="脚注文本 字符"/>
    <w:aliases w:val="fn 字符,ft 字符,Footnotes 字符,Footnote ak 字符,fn cafc 字符,ALTS FOOTNOTE Char 字符,Footnote Text Char1 Char 字符,Footnote Text Char Char Char 字符,Footnote Text Char1 Char Char Char 字符,Footnote Text Char Char Char Char Char 字符,fn Char1 字符,ALTS FOOTNOTE 字符"/>
    <w:basedOn w:val="a1"/>
    <w:link w:val="a6"/>
    <w:uiPriority w:val="1"/>
    <w:qFormat/>
    <w:locked/>
    <w:rsid w:val="00D40EF5"/>
    <w:rPr>
      <w:sz w:val="20"/>
    </w:rPr>
  </w:style>
  <w:style w:type="paragraph" w:styleId="a6">
    <w:name w:val="footnote text"/>
    <w:aliases w:val="fn,ft,Footnotes,Footnote ak,fn cafc,ALTS FOOTNOTE Char,Footnote Text Char1 Char,Footnote Text Char Char Char,Footnote Text Char1 Char Char Char,Footnote Text Char Char Char Char Char,fn Char1,ALTS FOOTNOTE,FOOTNOTES,footnote text,f,C,Car"/>
    <w:basedOn w:val="a0"/>
    <w:link w:val="a5"/>
    <w:uiPriority w:val="1"/>
    <w:unhideWhenUsed/>
    <w:qFormat/>
    <w:rsid w:val="00D40EF5"/>
    <w:pPr>
      <w:spacing w:line="240" w:lineRule="auto"/>
    </w:pPr>
    <w:rPr>
      <w:rFonts w:eastAsiaTheme="minorHAnsi"/>
      <w:kern w:val="2"/>
      <w:sz w:val="20"/>
      <w:szCs w:val="20"/>
      <w:lang w:eastAsia="en-US" w:bidi="hi-IN"/>
      <w14:ligatures w14:val="standardContextual"/>
    </w:rPr>
  </w:style>
  <w:style w:type="character" w:customStyle="1" w:styleId="FootnoteTextChar1">
    <w:name w:val="Footnote Text Char1"/>
    <w:basedOn w:val="a1"/>
    <w:uiPriority w:val="99"/>
    <w:semiHidden/>
    <w:rsid w:val="00D40EF5"/>
    <w:rPr>
      <w:rFonts w:eastAsiaTheme="minorEastAsia"/>
      <w:kern w:val="0"/>
      <w:sz w:val="20"/>
      <w:lang w:val="en-US" w:eastAsia="zh-CN" w:bidi="ar-SA"/>
      <w14:ligatures w14:val="none"/>
    </w:rPr>
  </w:style>
  <w:style w:type="paragraph" w:styleId="a7">
    <w:name w:val="Body Text"/>
    <w:basedOn w:val="a0"/>
    <w:link w:val="a8"/>
    <w:unhideWhenUsed/>
    <w:qFormat/>
    <w:rsid w:val="00D40EF5"/>
    <w:pPr>
      <w:tabs>
        <w:tab w:val="num" w:pos="720"/>
      </w:tabs>
      <w:spacing w:after="240"/>
      <w:jc w:val="left"/>
    </w:pPr>
    <w:rPr>
      <w:rFonts w:ascii="Times New Roman" w:eastAsia="Times New Roman" w:hAnsi="Times New Roman" w:cs="Times New Roman"/>
      <w:szCs w:val="20"/>
      <w:lang w:val="en-GB" w:eastAsia="en-US"/>
    </w:rPr>
  </w:style>
  <w:style w:type="character" w:customStyle="1" w:styleId="a8">
    <w:name w:val="正文文本 字符"/>
    <w:basedOn w:val="a1"/>
    <w:link w:val="a7"/>
    <w:rsid w:val="00D40EF5"/>
    <w:rPr>
      <w:rFonts w:ascii="Times New Roman" w:eastAsia="Times New Roman" w:hAnsi="Times New Roman" w:cs="Times New Roman"/>
      <w:kern w:val="0"/>
      <w:lang w:val="en-GB" w:bidi="ar-SA"/>
      <w14:ligatures w14:val="none"/>
    </w:rPr>
  </w:style>
  <w:style w:type="paragraph" w:styleId="a9">
    <w:name w:val="List Paragraph"/>
    <w:aliases w:val="Recommendation,List Paragraph1"/>
    <w:basedOn w:val="a0"/>
    <w:link w:val="aa"/>
    <w:uiPriority w:val="34"/>
    <w:qFormat/>
    <w:rsid w:val="00D40EF5"/>
    <w:pPr>
      <w:ind w:left="720"/>
      <w:contextualSpacing/>
    </w:pPr>
  </w:style>
  <w:style w:type="paragraph" w:styleId="TOC">
    <w:name w:val="TOC Heading"/>
    <w:basedOn w:val="1"/>
    <w:next w:val="a0"/>
    <w:uiPriority w:val="39"/>
    <w:unhideWhenUsed/>
    <w:qFormat/>
    <w:rsid w:val="00D40EF5"/>
    <w:pPr>
      <w:outlineLvl w:val="9"/>
    </w:pPr>
    <w:rPr>
      <w:lang w:val="en-US" w:eastAsia="ja-JP"/>
    </w:rPr>
  </w:style>
  <w:style w:type="paragraph" w:customStyle="1" w:styleId="Body2">
    <w:name w:val="Body 2"/>
    <w:basedOn w:val="a0"/>
    <w:qFormat/>
    <w:rsid w:val="00D40EF5"/>
    <w:pPr>
      <w:spacing w:after="210" w:line="264" w:lineRule="auto"/>
      <w:ind w:left="709"/>
    </w:pPr>
    <w:rPr>
      <w:rFonts w:ascii="Arial" w:eastAsia="宋体" w:hAnsi="Arial" w:cs="Arial"/>
      <w:sz w:val="21"/>
      <w:szCs w:val="21"/>
      <w:lang w:val="en-GB" w:eastAsia="en-US"/>
    </w:rPr>
  </w:style>
  <w:style w:type="character" w:styleId="ab">
    <w:name w:val="footnote reference"/>
    <w:aliases w:val="Ref,de nota al pie,註腳內容,Footnote Reference1,Ref1,de nota al pie1,de nota al pie + (Asian) MS Mincho,11 pt,-E Fußnotenzeichen,註?腳Ò®é»,11 p,註?腳內—e,????,16 Point,Superscript 6 Point,-E Fuﬂnotenzeichen,註?腳內Ñe,-E Fu§notenzeichen,註??腳內—e,11"/>
    <w:basedOn w:val="a1"/>
    <w:link w:val="CharChar6CharCharCharCharCharChar"/>
    <w:uiPriority w:val="99"/>
    <w:unhideWhenUsed/>
    <w:qFormat/>
    <w:rsid w:val="00D40EF5"/>
    <w:rPr>
      <w:vertAlign w:val="superscript"/>
    </w:rPr>
  </w:style>
  <w:style w:type="table" w:styleId="ac">
    <w:name w:val="Table Grid"/>
    <w:basedOn w:val="a2"/>
    <w:uiPriority w:val="59"/>
    <w:rsid w:val="00D40EF5"/>
    <w:pPr>
      <w:spacing w:after="0" w:line="240" w:lineRule="auto"/>
      <w:jc w:val="both"/>
    </w:pPr>
    <w:rPr>
      <w:kern w:val="0"/>
      <w:szCs w:val="22"/>
      <w:lang w:val="nl-BE" w:eastAsia="zh-CN"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0"/>
    <w:link w:val="ae"/>
    <w:uiPriority w:val="99"/>
    <w:unhideWhenUsed/>
    <w:rsid w:val="00D40EF5"/>
    <w:pPr>
      <w:tabs>
        <w:tab w:val="center" w:pos="4680"/>
        <w:tab w:val="right" w:pos="9360"/>
      </w:tabs>
      <w:spacing w:line="240" w:lineRule="auto"/>
    </w:pPr>
  </w:style>
  <w:style w:type="character" w:customStyle="1" w:styleId="ae">
    <w:name w:val="页眉 字符"/>
    <w:basedOn w:val="a1"/>
    <w:link w:val="ad"/>
    <w:uiPriority w:val="99"/>
    <w:rsid w:val="00D40EF5"/>
    <w:rPr>
      <w:rFonts w:eastAsiaTheme="minorEastAsia"/>
      <w:kern w:val="0"/>
      <w:szCs w:val="22"/>
      <w:lang w:val="en-US" w:eastAsia="zh-CN" w:bidi="ar-SA"/>
      <w14:ligatures w14:val="none"/>
    </w:rPr>
  </w:style>
  <w:style w:type="paragraph" w:styleId="af">
    <w:name w:val="footer"/>
    <w:basedOn w:val="a0"/>
    <w:link w:val="af0"/>
    <w:uiPriority w:val="99"/>
    <w:unhideWhenUsed/>
    <w:rsid w:val="00D40EF5"/>
    <w:pPr>
      <w:tabs>
        <w:tab w:val="center" w:pos="4680"/>
        <w:tab w:val="right" w:pos="9360"/>
      </w:tabs>
      <w:spacing w:line="240" w:lineRule="auto"/>
    </w:pPr>
  </w:style>
  <w:style w:type="character" w:customStyle="1" w:styleId="af0">
    <w:name w:val="页脚 字符"/>
    <w:basedOn w:val="a1"/>
    <w:link w:val="af"/>
    <w:uiPriority w:val="99"/>
    <w:rsid w:val="00D40EF5"/>
    <w:rPr>
      <w:rFonts w:eastAsiaTheme="minorEastAsia"/>
      <w:kern w:val="0"/>
      <w:szCs w:val="22"/>
      <w:lang w:val="en-US" w:eastAsia="zh-CN" w:bidi="ar-SA"/>
      <w14:ligatures w14:val="none"/>
    </w:rPr>
  </w:style>
  <w:style w:type="character" w:styleId="af1">
    <w:name w:val="annotation reference"/>
    <w:basedOn w:val="a1"/>
    <w:uiPriority w:val="99"/>
    <w:semiHidden/>
    <w:unhideWhenUsed/>
    <w:rsid w:val="00D40EF5"/>
    <w:rPr>
      <w:sz w:val="16"/>
      <w:szCs w:val="16"/>
    </w:rPr>
  </w:style>
  <w:style w:type="paragraph" w:styleId="af2">
    <w:name w:val="annotation text"/>
    <w:basedOn w:val="a0"/>
    <w:link w:val="af3"/>
    <w:uiPriority w:val="99"/>
    <w:unhideWhenUsed/>
    <w:rsid w:val="00D40EF5"/>
    <w:pPr>
      <w:spacing w:line="240" w:lineRule="auto"/>
    </w:pPr>
    <w:rPr>
      <w:sz w:val="20"/>
      <w:szCs w:val="20"/>
    </w:rPr>
  </w:style>
  <w:style w:type="character" w:customStyle="1" w:styleId="af3">
    <w:name w:val="批注文字 字符"/>
    <w:basedOn w:val="a1"/>
    <w:link w:val="af2"/>
    <w:uiPriority w:val="99"/>
    <w:rsid w:val="00D40EF5"/>
    <w:rPr>
      <w:rFonts w:eastAsiaTheme="minorEastAsia"/>
      <w:kern w:val="0"/>
      <w:sz w:val="20"/>
      <w:lang w:val="en-US" w:eastAsia="zh-CN" w:bidi="ar-SA"/>
      <w14:ligatures w14:val="none"/>
    </w:rPr>
  </w:style>
  <w:style w:type="paragraph" w:styleId="af4">
    <w:name w:val="annotation subject"/>
    <w:basedOn w:val="af2"/>
    <w:next w:val="af2"/>
    <w:link w:val="af5"/>
    <w:uiPriority w:val="99"/>
    <w:semiHidden/>
    <w:unhideWhenUsed/>
    <w:rsid w:val="00D40EF5"/>
    <w:rPr>
      <w:b/>
      <w:bCs/>
    </w:rPr>
  </w:style>
  <w:style w:type="character" w:customStyle="1" w:styleId="af5">
    <w:name w:val="批注主题 字符"/>
    <w:basedOn w:val="af3"/>
    <w:link w:val="af4"/>
    <w:uiPriority w:val="99"/>
    <w:semiHidden/>
    <w:rsid w:val="00D40EF5"/>
    <w:rPr>
      <w:rFonts w:eastAsiaTheme="minorEastAsia"/>
      <w:b/>
      <w:bCs/>
      <w:kern w:val="0"/>
      <w:sz w:val="20"/>
      <w:lang w:val="en-US" w:eastAsia="zh-CN" w:bidi="ar-SA"/>
      <w14:ligatures w14:val="none"/>
    </w:rPr>
  </w:style>
  <w:style w:type="paragraph" w:styleId="af6">
    <w:name w:val="Balloon Text"/>
    <w:basedOn w:val="a0"/>
    <w:link w:val="af7"/>
    <w:uiPriority w:val="99"/>
    <w:semiHidden/>
    <w:unhideWhenUsed/>
    <w:rsid w:val="00D40EF5"/>
    <w:pPr>
      <w:spacing w:line="240" w:lineRule="auto"/>
    </w:pPr>
    <w:rPr>
      <w:rFonts w:ascii="Segoe UI" w:hAnsi="Segoe UI" w:cs="Segoe UI"/>
      <w:sz w:val="18"/>
      <w:szCs w:val="18"/>
    </w:rPr>
  </w:style>
  <w:style w:type="character" w:customStyle="1" w:styleId="af7">
    <w:name w:val="批注框文本 字符"/>
    <w:basedOn w:val="a1"/>
    <w:link w:val="af6"/>
    <w:uiPriority w:val="99"/>
    <w:semiHidden/>
    <w:rsid w:val="00D40EF5"/>
    <w:rPr>
      <w:rFonts w:ascii="Segoe UI" w:eastAsiaTheme="minorEastAsia" w:hAnsi="Segoe UI" w:cs="Segoe UI"/>
      <w:kern w:val="0"/>
      <w:sz w:val="18"/>
      <w:szCs w:val="18"/>
      <w:lang w:val="en-US" w:eastAsia="zh-CN" w:bidi="ar-SA"/>
      <w14:ligatures w14:val="none"/>
    </w:rPr>
  </w:style>
  <w:style w:type="character" w:styleId="af8">
    <w:name w:val="FollowedHyperlink"/>
    <w:basedOn w:val="a1"/>
    <w:uiPriority w:val="99"/>
    <w:semiHidden/>
    <w:unhideWhenUsed/>
    <w:rsid w:val="00D40EF5"/>
    <w:rPr>
      <w:color w:val="954F72" w:themeColor="followedHyperlink"/>
      <w:u w:val="single"/>
    </w:rPr>
  </w:style>
  <w:style w:type="paragraph" w:styleId="af9">
    <w:name w:val="Normal (Web)"/>
    <w:basedOn w:val="a0"/>
    <w:uiPriority w:val="99"/>
    <w:unhideWhenUsed/>
    <w:rsid w:val="00D40EF5"/>
    <w:pPr>
      <w:spacing w:before="100" w:beforeAutospacing="1" w:after="100" w:afterAutospacing="1" w:line="240" w:lineRule="auto"/>
      <w:jc w:val="left"/>
    </w:pPr>
    <w:rPr>
      <w:rFonts w:ascii="Times New Roman" w:hAnsi="Times New Roman" w:cs="Times New Roman"/>
      <w:sz w:val="24"/>
      <w:szCs w:val="24"/>
    </w:rPr>
  </w:style>
  <w:style w:type="character" w:styleId="afa">
    <w:name w:val="Strong"/>
    <w:basedOn w:val="a1"/>
    <w:uiPriority w:val="22"/>
    <w:qFormat/>
    <w:rsid w:val="00D40EF5"/>
    <w:rPr>
      <w:b/>
      <w:bCs/>
    </w:rPr>
  </w:style>
  <w:style w:type="character" w:customStyle="1" w:styleId="afb">
    <w:name w:val="日期 字符"/>
    <w:aliases w:val="date 字符"/>
    <w:basedOn w:val="a1"/>
    <w:link w:val="afc"/>
    <w:uiPriority w:val="99"/>
    <w:semiHidden/>
    <w:locked/>
    <w:rsid w:val="00D40EF5"/>
    <w:rPr>
      <w:rFonts w:ascii="宋体" w:hAnsi="宋体"/>
      <w:sz w:val="24"/>
      <w:szCs w:val="24"/>
    </w:rPr>
  </w:style>
  <w:style w:type="paragraph" w:styleId="afc">
    <w:name w:val="Date"/>
    <w:aliases w:val="date"/>
    <w:basedOn w:val="a0"/>
    <w:link w:val="afb"/>
    <w:uiPriority w:val="99"/>
    <w:semiHidden/>
    <w:unhideWhenUsed/>
    <w:rsid w:val="00D40EF5"/>
    <w:pPr>
      <w:spacing w:before="100" w:beforeAutospacing="1" w:after="100" w:afterAutospacing="1" w:line="240" w:lineRule="auto"/>
      <w:jc w:val="left"/>
    </w:pPr>
    <w:rPr>
      <w:rFonts w:ascii="宋体" w:eastAsiaTheme="minorHAnsi" w:hAnsi="宋体"/>
      <w:kern w:val="2"/>
      <w:sz w:val="24"/>
      <w:szCs w:val="24"/>
      <w:lang w:eastAsia="en-US" w:bidi="hi-IN"/>
      <w14:ligatures w14:val="standardContextual"/>
    </w:rPr>
  </w:style>
  <w:style w:type="character" w:customStyle="1" w:styleId="DateChar1">
    <w:name w:val="Date Char1"/>
    <w:basedOn w:val="a1"/>
    <w:uiPriority w:val="99"/>
    <w:semiHidden/>
    <w:rsid w:val="00D40EF5"/>
    <w:rPr>
      <w:rFonts w:eastAsiaTheme="minorEastAsia"/>
      <w:kern w:val="0"/>
      <w:szCs w:val="22"/>
      <w:lang w:val="en-US" w:eastAsia="zh-CN" w:bidi="ar-SA"/>
      <w14:ligatures w14:val="none"/>
    </w:rPr>
  </w:style>
  <w:style w:type="paragraph" w:customStyle="1" w:styleId="Default">
    <w:name w:val="Default"/>
    <w:rsid w:val="00D40EF5"/>
    <w:pPr>
      <w:autoSpaceDE w:val="0"/>
      <w:autoSpaceDN w:val="0"/>
      <w:adjustRightInd w:val="0"/>
      <w:spacing w:after="0" w:line="240" w:lineRule="auto"/>
    </w:pPr>
    <w:rPr>
      <w:rFonts w:ascii="Times New Roman" w:hAnsi="Times New Roman" w:cs="Times New Roman"/>
      <w:color w:val="000000"/>
      <w:kern w:val="0"/>
      <w:sz w:val="24"/>
      <w:szCs w:val="24"/>
      <w:lang w:val="en-US" w:eastAsia="zh-CN" w:bidi="ar-SA"/>
      <w14:ligatures w14:val="none"/>
    </w:rPr>
  </w:style>
  <w:style w:type="paragraph" w:customStyle="1" w:styleId="paranormaltext">
    <w:name w:val="paranormaltext"/>
    <w:basedOn w:val="a0"/>
    <w:rsid w:val="00D40EF5"/>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tocindent4">
    <w:name w:val="tocindent4"/>
    <w:basedOn w:val="a0"/>
    <w:rsid w:val="00D40EF5"/>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tocindent8">
    <w:name w:val="tocindent8"/>
    <w:basedOn w:val="a0"/>
    <w:rsid w:val="00D40EF5"/>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CM1">
    <w:name w:val="CM1"/>
    <w:basedOn w:val="Default"/>
    <w:next w:val="Default"/>
    <w:uiPriority w:val="99"/>
    <w:rsid w:val="00D40EF5"/>
    <w:rPr>
      <w:rFonts w:ascii="EUAlbertina" w:eastAsiaTheme="minorHAnsi" w:hAnsi="EUAlbertina" w:cstheme="minorBidi"/>
      <w:color w:val="auto"/>
      <w:lang w:eastAsia="en-US"/>
    </w:rPr>
  </w:style>
  <w:style w:type="paragraph" w:customStyle="1" w:styleId="CM3">
    <w:name w:val="CM3"/>
    <w:basedOn w:val="Default"/>
    <w:next w:val="Default"/>
    <w:uiPriority w:val="99"/>
    <w:rsid w:val="00D40EF5"/>
    <w:rPr>
      <w:rFonts w:ascii="EUAlbertina" w:eastAsiaTheme="minorHAnsi" w:hAnsi="EUAlbertina" w:cstheme="minorBidi"/>
      <w:color w:val="auto"/>
      <w:lang w:eastAsia="en-US"/>
    </w:rPr>
  </w:style>
  <w:style w:type="paragraph" w:customStyle="1" w:styleId="CM4">
    <w:name w:val="CM4"/>
    <w:basedOn w:val="Default"/>
    <w:next w:val="Default"/>
    <w:uiPriority w:val="99"/>
    <w:rsid w:val="00D40EF5"/>
    <w:rPr>
      <w:rFonts w:ascii="EUAlbertina" w:eastAsiaTheme="minorHAnsi" w:hAnsi="EUAlbertina" w:cstheme="minorBidi"/>
      <w:color w:val="auto"/>
      <w:lang w:eastAsia="en-US"/>
    </w:rPr>
  </w:style>
  <w:style w:type="paragraph" w:customStyle="1" w:styleId="Pa0">
    <w:name w:val="Pa0"/>
    <w:basedOn w:val="Default"/>
    <w:next w:val="Default"/>
    <w:uiPriority w:val="99"/>
    <w:rsid w:val="00D40EF5"/>
    <w:pPr>
      <w:spacing w:line="181" w:lineRule="atLeast"/>
    </w:pPr>
    <w:rPr>
      <w:rFonts w:ascii="Myriad Pro" w:hAnsi="Myriad Pro" w:cstheme="minorBidi"/>
      <w:color w:val="auto"/>
    </w:rPr>
  </w:style>
  <w:style w:type="character" w:customStyle="1" w:styleId="A30">
    <w:name w:val="A3"/>
    <w:uiPriority w:val="99"/>
    <w:rsid w:val="00D40EF5"/>
    <w:rPr>
      <w:rFonts w:cs="Myriad Pro"/>
      <w:color w:val="221E1F"/>
      <w:sz w:val="17"/>
      <w:szCs w:val="17"/>
    </w:rPr>
  </w:style>
  <w:style w:type="numbering" w:customStyle="1" w:styleId="Outline">
    <w:name w:val="Outline"/>
    <w:basedOn w:val="a3"/>
    <w:rsid w:val="00D40EF5"/>
    <w:pPr>
      <w:numPr>
        <w:numId w:val="5"/>
      </w:numPr>
    </w:pPr>
  </w:style>
  <w:style w:type="paragraph" w:customStyle="1" w:styleId="HFWLevel2">
    <w:name w:val="HFW Level 2"/>
    <w:qFormat/>
    <w:rsid w:val="00D40EF5"/>
    <w:pPr>
      <w:numPr>
        <w:ilvl w:val="1"/>
        <w:numId w:val="4"/>
      </w:numPr>
      <w:suppressAutoHyphens/>
      <w:autoSpaceDN w:val="0"/>
      <w:spacing w:after="220" w:line="288" w:lineRule="auto"/>
      <w:jc w:val="both"/>
      <w:textAlignment w:val="baseline"/>
      <w:outlineLvl w:val="1"/>
    </w:pPr>
    <w:rPr>
      <w:rFonts w:ascii="Times New Roman" w:eastAsia="Times New Roman" w:hAnsi="Times New Roman" w:cs="Times New Roman"/>
      <w:kern w:val="3"/>
      <w:szCs w:val="22"/>
      <w:lang w:eastAsia="en-GB" w:bidi="ar-SA"/>
      <w14:ligatures w14:val="none"/>
    </w:rPr>
  </w:style>
  <w:style w:type="paragraph" w:customStyle="1" w:styleId="HFWLevel1">
    <w:name w:val="HFW Level 1"/>
    <w:rsid w:val="00D40EF5"/>
    <w:pPr>
      <w:numPr>
        <w:numId w:val="4"/>
      </w:numPr>
      <w:suppressAutoHyphens/>
      <w:autoSpaceDN w:val="0"/>
      <w:spacing w:after="220" w:line="288" w:lineRule="auto"/>
      <w:jc w:val="both"/>
      <w:textAlignment w:val="baseline"/>
      <w:outlineLvl w:val="0"/>
    </w:pPr>
    <w:rPr>
      <w:rFonts w:ascii="Times New Roman" w:eastAsia="Times New Roman" w:hAnsi="Times New Roman" w:cs="Times New Roman"/>
      <w:kern w:val="3"/>
      <w:szCs w:val="22"/>
      <w:lang w:eastAsia="en-GB" w:bidi="ar-SA"/>
      <w14:ligatures w14:val="none"/>
    </w:rPr>
  </w:style>
  <w:style w:type="paragraph" w:customStyle="1" w:styleId="HFWLevel3">
    <w:name w:val="HFW Level 3"/>
    <w:rsid w:val="00D40EF5"/>
    <w:pPr>
      <w:numPr>
        <w:ilvl w:val="2"/>
        <w:numId w:val="4"/>
      </w:numPr>
      <w:suppressAutoHyphens/>
      <w:autoSpaceDN w:val="0"/>
      <w:spacing w:after="220" w:line="288" w:lineRule="auto"/>
      <w:jc w:val="both"/>
      <w:textAlignment w:val="baseline"/>
      <w:outlineLvl w:val="2"/>
    </w:pPr>
    <w:rPr>
      <w:rFonts w:ascii="Times New Roman" w:eastAsia="Times New Roman" w:hAnsi="Times New Roman" w:cs="Times New Roman"/>
      <w:kern w:val="3"/>
      <w:szCs w:val="22"/>
      <w:lang w:eastAsia="en-GB" w:bidi="ar-SA"/>
      <w14:ligatures w14:val="none"/>
    </w:rPr>
  </w:style>
  <w:style w:type="paragraph" w:customStyle="1" w:styleId="HFWLevel4">
    <w:name w:val="HFW Level 4"/>
    <w:rsid w:val="00D40EF5"/>
    <w:pPr>
      <w:numPr>
        <w:ilvl w:val="3"/>
        <w:numId w:val="4"/>
      </w:numPr>
      <w:tabs>
        <w:tab w:val="num" w:pos="360"/>
      </w:tabs>
      <w:suppressAutoHyphens/>
      <w:autoSpaceDN w:val="0"/>
      <w:spacing w:after="220" w:line="288" w:lineRule="auto"/>
      <w:ind w:left="0" w:firstLine="0"/>
      <w:jc w:val="both"/>
      <w:textAlignment w:val="baseline"/>
      <w:outlineLvl w:val="3"/>
    </w:pPr>
    <w:rPr>
      <w:rFonts w:ascii="Times New Roman" w:eastAsia="Times New Roman" w:hAnsi="Times New Roman" w:cs="Times New Roman"/>
      <w:kern w:val="3"/>
      <w:szCs w:val="22"/>
      <w:lang w:eastAsia="en-GB" w:bidi="ar-SA"/>
      <w14:ligatures w14:val="none"/>
    </w:rPr>
  </w:style>
  <w:style w:type="paragraph" w:customStyle="1" w:styleId="HFWLevel5">
    <w:name w:val="HFW Level 5"/>
    <w:rsid w:val="00D40EF5"/>
    <w:pPr>
      <w:numPr>
        <w:ilvl w:val="4"/>
        <w:numId w:val="4"/>
      </w:numPr>
      <w:suppressAutoHyphens/>
      <w:autoSpaceDN w:val="0"/>
      <w:spacing w:after="220" w:line="288" w:lineRule="auto"/>
      <w:jc w:val="both"/>
      <w:textAlignment w:val="baseline"/>
      <w:outlineLvl w:val="4"/>
    </w:pPr>
    <w:rPr>
      <w:rFonts w:ascii="Times New Roman" w:eastAsia="Times New Roman" w:hAnsi="Times New Roman" w:cs="Times New Roman"/>
      <w:kern w:val="3"/>
      <w:szCs w:val="22"/>
      <w:lang w:eastAsia="en-GB" w:bidi="ar-SA"/>
      <w14:ligatures w14:val="none"/>
    </w:rPr>
  </w:style>
  <w:style w:type="paragraph" w:customStyle="1" w:styleId="HFWLevel6">
    <w:name w:val="HFW Level 6"/>
    <w:rsid w:val="00D40EF5"/>
    <w:pPr>
      <w:numPr>
        <w:ilvl w:val="5"/>
        <w:numId w:val="4"/>
      </w:numPr>
      <w:suppressAutoHyphens/>
      <w:autoSpaceDN w:val="0"/>
      <w:spacing w:after="220" w:line="288" w:lineRule="auto"/>
      <w:jc w:val="both"/>
      <w:textAlignment w:val="baseline"/>
      <w:outlineLvl w:val="5"/>
    </w:pPr>
    <w:rPr>
      <w:rFonts w:ascii="Times New Roman" w:eastAsia="Times New Roman" w:hAnsi="Times New Roman" w:cs="Times New Roman"/>
      <w:kern w:val="3"/>
      <w:szCs w:val="22"/>
      <w:lang w:eastAsia="en-GB" w:bidi="ar-SA"/>
      <w14:ligatures w14:val="none"/>
    </w:rPr>
  </w:style>
  <w:style w:type="character" w:customStyle="1" w:styleId="HFWLevel1asheadingtext">
    <w:name w:val="HFW Level 1 as heading (text)"/>
    <w:basedOn w:val="a1"/>
    <w:rsid w:val="00D40EF5"/>
    <w:rPr>
      <w:b/>
      <w:bCs/>
    </w:rPr>
  </w:style>
  <w:style w:type="character" w:customStyle="1" w:styleId="HFWLevel2asheadingtext">
    <w:name w:val="HFW Level 2 as heading (text)"/>
    <w:basedOn w:val="a1"/>
    <w:rsid w:val="00D40EF5"/>
    <w:rPr>
      <w:b/>
      <w:bCs/>
    </w:rPr>
  </w:style>
  <w:style w:type="paragraph" w:customStyle="1" w:styleId="HEADINGCH3">
    <w:name w:val="HEADING CH 3"/>
    <w:basedOn w:val="a9"/>
    <w:link w:val="HEADINGCH3Char"/>
    <w:qFormat/>
    <w:rsid w:val="00D40EF5"/>
    <w:pPr>
      <w:keepNext/>
      <w:numPr>
        <w:ilvl w:val="1"/>
        <w:numId w:val="2"/>
      </w:numPr>
      <w:tabs>
        <w:tab w:val="left" w:pos="630"/>
      </w:tabs>
    </w:pPr>
    <w:rPr>
      <w:rFonts w:ascii="Arial" w:hAnsi="Arial" w:cs="Arial"/>
      <w:b/>
      <w:sz w:val="24"/>
      <w:szCs w:val="24"/>
      <w:lang w:val="en-GB"/>
    </w:rPr>
  </w:style>
  <w:style w:type="paragraph" w:styleId="TOC3">
    <w:name w:val="toc 3"/>
    <w:basedOn w:val="a0"/>
    <w:next w:val="a0"/>
    <w:autoRedefine/>
    <w:uiPriority w:val="39"/>
    <w:unhideWhenUsed/>
    <w:rsid w:val="00D40EF5"/>
    <w:pPr>
      <w:spacing w:after="100" w:line="259" w:lineRule="auto"/>
      <w:ind w:left="440"/>
      <w:jc w:val="left"/>
    </w:pPr>
    <w:rPr>
      <w:rFonts w:cs="Times New Roman"/>
      <w:lang w:eastAsia="en-US"/>
    </w:rPr>
  </w:style>
  <w:style w:type="character" w:customStyle="1" w:styleId="aa">
    <w:name w:val="列表段落 字符"/>
    <w:aliases w:val="Recommendation 字符,List Paragraph1 字符"/>
    <w:basedOn w:val="a1"/>
    <w:link w:val="a9"/>
    <w:uiPriority w:val="34"/>
    <w:qFormat/>
    <w:rsid w:val="00D40EF5"/>
    <w:rPr>
      <w:rFonts w:eastAsiaTheme="minorEastAsia"/>
      <w:kern w:val="0"/>
      <w:szCs w:val="22"/>
      <w:lang w:val="en-US" w:eastAsia="zh-CN" w:bidi="ar-SA"/>
      <w14:ligatures w14:val="none"/>
    </w:rPr>
  </w:style>
  <w:style w:type="character" w:customStyle="1" w:styleId="HEADINGCH3Char">
    <w:name w:val="HEADING CH 3 Char"/>
    <w:basedOn w:val="aa"/>
    <w:link w:val="HEADINGCH3"/>
    <w:rsid w:val="00D40EF5"/>
    <w:rPr>
      <w:rFonts w:ascii="Arial" w:eastAsiaTheme="minorEastAsia" w:hAnsi="Arial" w:cs="Arial"/>
      <w:b/>
      <w:kern w:val="0"/>
      <w:sz w:val="24"/>
      <w:szCs w:val="24"/>
      <w:lang w:val="en-GB" w:eastAsia="zh-CN" w:bidi="ar-SA"/>
      <w14:ligatures w14:val="none"/>
    </w:rPr>
  </w:style>
  <w:style w:type="paragraph" w:customStyle="1" w:styleId="CharChar6CharCharCharCharCharChar">
    <w:name w:val="Char Char6 Char Char Char Char Char Char"/>
    <w:aliases w:val="Char6 Char Char Char Char Char Char Char"/>
    <w:basedOn w:val="a0"/>
    <w:link w:val="ab"/>
    <w:uiPriority w:val="99"/>
    <w:qFormat/>
    <w:rsid w:val="00D40EF5"/>
    <w:pPr>
      <w:spacing w:line="360" w:lineRule="exact"/>
      <w:jc w:val="center"/>
    </w:pPr>
    <w:rPr>
      <w:rFonts w:eastAsiaTheme="minorHAnsi"/>
      <w:kern w:val="2"/>
      <w:szCs w:val="20"/>
      <w:vertAlign w:val="superscript"/>
      <w:lang w:eastAsia="en-US" w:bidi="hi-IN"/>
      <w14:ligatures w14:val="standardContextual"/>
    </w:rPr>
  </w:style>
  <w:style w:type="paragraph" w:customStyle="1" w:styleId="Body1">
    <w:name w:val="Body 1"/>
    <w:basedOn w:val="a0"/>
    <w:rsid w:val="00D40EF5"/>
    <w:pPr>
      <w:spacing w:after="210" w:line="264" w:lineRule="auto"/>
    </w:pPr>
    <w:rPr>
      <w:rFonts w:ascii="Arial" w:eastAsia="华文楷体" w:hAnsi="Arial" w:cs="Times New Roman"/>
      <w:kern w:val="28"/>
      <w:sz w:val="21"/>
      <w:szCs w:val="20"/>
      <w:lang w:val="en-GB" w:eastAsia="en-US"/>
    </w:rPr>
  </w:style>
  <w:style w:type="paragraph" w:customStyle="1" w:styleId="VBBParagraph">
    <w:name w:val="VBB Paragraph"/>
    <w:basedOn w:val="a0"/>
    <w:qFormat/>
    <w:rsid w:val="00AD6A92"/>
    <w:pPr>
      <w:keepLines/>
      <w:numPr>
        <w:numId w:val="7"/>
      </w:numPr>
      <w:spacing w:after="240" w:line="300" w:lineRule="exact"/>
    </w:pPr>
    <w:rPr>
      <w:rFonts w:ascii="Arial" w:eastAsia="Times New Roman" w:hAnsi="Arial" w:cs="Arial"/>
      <w:lang w:val="en-GB" w:eastAsia="en-US"/>
    </w:rPr>
  </w:style>
  <w:style w:type="paragraph" w:styleId="afd">
    <w:name w:val="Revision"/>
    <w:hidden/>
    <w:uiPriority w:val="99"/>
    <w:semiHidden/>
    <w:rsid w:val="00C91793"/>
    <w:pPr>
      <w:spacing w:after="0" w:line="240" w:lineRule="auto"/>
    </w:pPr>
    <w:rPr>
      <w:kern w:val="0"/>
      <w:szCs w:val="22"/>
      <w:lang w:val="en-US" w:eastAsia="zh-CN" w:bidi="ar-SA"/>
      <w14:ligatures w14:val="none"/>
    </w:rPr>
  </w:style>
  <w:style w:type="character" w:customStyle="1" w:styleId="ui-provider">
    <w:name w:val="ui-provider"/>
    <w:basedOn w:val="a1"/>
    <w:rsid w:val="003B2BAF"/>
  </w:style>
  <w:style w:type="paragraph" w:styleId="a">
    <w:name w:val="List Bullet"/>
    <w:basedOn w:val="a0"/>
    <w:qFormat/>
    <w:rsid w:val="00570E79"/>
    <w:pPr>
      <w:numPr>
        <w:numId w:val="11"/>
      </w:numPr>
      <w:spacing w:after="240" w:line="240" w:lineRule="auto"/>
      <w:contextualSpacing/>
      <w:jc w:val="left"/>
    </w:pPr>
    <w:rPr>
      <w:rFonts w:ascii="Times New Roman" w:eastAsia="MS Mincho" w:hAnsi="Times New Roman" w:cs="Times New Roman"/>
      <w:sz w:val="24"/>
      <w:szCs w:val="24"/>
      <w:lang w:eastAsia="en-US"/>
    </w:rPr>
  </w:style>
  <w:style w:type="paragraph" w:customStyle="1" w:styleId="Copies">
    <w:name w:val="Copies"/>
    <w:basedOn w:val="a0"/>
    <w:qFormat/>
    <w:rsid w:val="00550972"/>
    <w:pPr>
      <w:tabs>
        <w:tab w:val="left" w:pos="1678"/>
        <w:tab w:val="left" w:pos="2398"/>
        <w:tab w:val="left" w:pos="5398"/>
        <w:tab w:val="left" w:pos="6361"/>
      </w:tabs>
      <w:spacing w:before="480" w:line="240" w:lineRule="auto"/>
      <w:ind w:left="1191" w:hanging="1191"/>
      <w:jc w:val="left"/>
    </w:pPr>
    <w:rPr>
      <w:rFonts w:ascii="Times New Roman" w:eastAsia="等线" w:hAnsi="Times New Roman" w:cs="Times New Roman"/>
      <w:sz w:val="24"/>
      <w:szCs w:val="24"/>
      <w:lang w:val="en-GB" w:eastAsia="en-GB"/>
    </w:rPr>
  </w:style>
  <w:style w:type="paragraph" w:styleId="afe">
    <w:name w:val="endnote text"/>
    <w:basedOn w:val="a0"/>
    <w:link w:val="aff"/>
    <w:uiPriority w:val="99"/>
    <w:semiHidden/>
    <w:unhideWhenUsed/>
    <w:rsid w:val="00A054EB"/>
    <w:pPr>
      <w:spacing w:line="240" w:lineRule="auto"/>
    </w:pPr>
    <w:rPr>
      <w:sz w:val="20"/>
      <w:szCs w:val="20"/>
    </w:rPr>
  </w:style>
  <w:style w:type="character" w:customStyle="1" w:styleId="aff">
    <w:name w:val="尾注文本 字符"/>
    <w:basedOn w:val="a1"/>
    <w:link w:val="afe"/>
    <w:uiPriority w:val="99"/>
    <w:semiHidden/>
    <w:rsid w:val="00A054EB"/>
    <w:rPr>
      <w:rFonts w:eastAsiaTheme="minorEastAsia"/>
      <w:kern w:val="0"/>
      <w:sz w:val="20"/>
      <w:lang w:val="en-US" w:eastAsia="zh-CN" w:bidi="ar-SA"/>
      <w14:ligatures w14:val="none"/>
    </w:rPr>
  </w:style>
  <w:style w:type="character" w:styleId="aff0">
    <w:name w:val="endnote reference"/>
    <w:basedOn w:val="a1"/>
    <w:uiPriority w:val="99"/>
    <w:semiHidden/>
    <w:unhideWhenUsed/>
    <w:rsid w:val="00A054EB"/>
    <w:rPr>
      <w:vertAlign w:val="superscript"/>
    </w:rPr>
  </w:style>
  <w:style w:type="paragraph" w:styleId="aff1">
    <w:name w:val="Quote"/>
    <w:basedOn w:val="a0"/>
    <w:next w:val="a0"/>
    <w:link w:val="aff2"/>
    <w:uiPriority w:val="29"/>
    <w:qFormat/>
    <w:rsid w:val="005168DA"/>
    <w:pPr>
      <w:spacing w:before="200" w:after="160"/>
      <w:ind w:left="864" w:right="864"/>
      <w:jc w:val="center"/>
    </w:pPr>
    <w:rPr>
      <w:i/>
      <w:iCs/>
      <w:color w:val="404040" w:themeColor="text1" w:themeTint="BF"/>
    </w:rPr>
  </w:style>
  <w:style w:type="character" w:customStyle="1" w:styleId="aff2">
    <w:name w:val="引用 字符"/>
    <w:basedOn w:val="a1"/>
    <w:link w:val="aff1"/>
    <w:uiPriority w:val="29"/>
    <w:rsid w:val="005168DA"/>
    <w:rPr>
      <w:rFonts w:eastAsiaTheme="minorEastAsia"/>
      <w:i/>
      <w:iCs/>
      <w:color w:val="404040" w:themeColor="text1" w:themeTint="BF"/>
      <w:kern w:val="0"/>
      <w:szCs w:val="22"/>
      <w:lang w:val="en-US" w:eastAsia="zh-CN" w:bidi="ar-SA"/>
      <w14:ligatures w14:val="none"/>
    </w:rPr>
  </w:style>
  <w:style w:type="character" w:customStyle="1" w:styleId="FootnoteTextChar2">
    <w:name w:val="Footnote Text Char2"/>
    <w:aliases w:val="fn Char3,Footnotes Char3,ft Char2,fn cafc Char2,Footnote ak Char3,fn Char Char3,footnote text Char Char2,Footnotes Char Char3,Footnote ak Char Char2,footnote citation Char2,Footnotes Char Char Char2,Footnote Text Char Char Char2"/>
    <w:locked/>
    <w:rsid w:val="005168DA"/>
    <w:rPr>
      <w:rFonts w:cs="Times New Roman"/>
      <w:lang w:eastAsia="en-US"/>
    </w:rPr>
  </w:style>
  <w:style w:type="character" w:styleId="aff3">
    <w:name w:val="Unresolved Mention"/>
    <w:basedOn w:val="a1"/>
    <w:uiPriority w:val="99"/>
    <w:semiHidden/>
    <w:unhideWhenUsed/>
    <w:rsid w:val="005168DA"/>
    <w:rPr>
      <w:color w:val="605E5C"/>
      <w:shd w:val="clear" w:color="auto" w:fill="E1DFDD"/>
    </w:rPr>
  </w:style>
  <w:style w:type="paragraph" w:customStyle="1" w:styleId="Fullquote">
    <w:name w:val="Full quote"/>
    <w:basedOn w:val="a0"/>
    <w:link w:val="FullquoteChar"/>
    <w:qFormat/>
    <w:rsid w:val="005168DA"/>
    <w:pPr>
      <w:spacing w:after="240" w:line="240" w:lineRule="auto"/>
      <w:ind w:left="2166" w:right="1089"/>
    </w:pPr>
    <w:rPr>
      <w:rFonts w:ascii="Times New Roman" w:eastAsia="MS Mincho" w:hAnsi="Times New Roman" w:cs="Times New Roman"/>
      <w:sz w:val="24"/>
      <w:szCs w:val="24"/>
      <w:lang w:eastAsia="en-US"/>
    </w:rPr>
  </w:style>
  <w:style w:type="character" w:customStyle="1" w:styleId="FullquoteChar">
    <w:name w:val="Full quote Char"/>
    <w:basedOn w:val="a1"/>
    <w:link w:val="Fullquote"/>
    <w:rsid w:val="005168DA"/>
    <w:rPr>
      <w:rFonts w:ascii="Times New Roman" w:eastAsia="MS Mincho" w:hAnsi="Times New Roman" w:cs="Times New Roman"/>
      <w:kern w:val="0"/>
      <w:sz w:val="24"/>
      <w:szCs w:val="24"/>
      <w:lang w:val="en-US" w:bidi="ar-SA"/>
      <w14:ligatures w14:val="none"/>
    </w:rPr>
  </w:style>
  <w:style w:type="paragraph" w:customStyle="1" w:styleId="heading3">
    <w:name w:val="heading3"/>
    <w:basedOn w:val="a0"/>
    <w:rsid w:val="006E1820"/>
    <w:pPr>
      <w:spacing w:before="100" w:beforeAutospacing="1" w:after="100" w:afterAutospacing="1" w:line="240" w:lineRule="auto"/>
      <w:jc w:val="left"/>
    </w:pPr>
    <w:rPr>
      <w:rFonts w:ascii="Times New Roman" w:eastAsia="Times New Roman" w:hAnsi="Times New Roman" w:cs="Times New Roman"/>
      <w:sz w:val="24"/>
      <w:szCs w:val="24"/>
      <w:lang w:val="en-GB" w:eastAsia="en-US" w:bidi="hi-IN"/>
    </w:rPr>
  </w:style>
  <w:style w:type="character" w:customStyle="1" w:styleId="fui-primitive">
    <w:name w:val="fui-primitive"/>
    <w:basedOn w:val="a1"/>
    <w:rsid w:val="00072E89"/>
  </w:style>
  <w:style w:type="character" w:customStyle="1" w:styleId="cf01">
    <w:name w:val="cf01"/>
    <w:basedOn w:val="a1"/>
    <w:rsid w:val="00B96976"/>
    <w:rPr>
      <w:rFonts w:ascii="Segoe UI" w:hAnsi="Segoe UI" w:cs="Segoe UI" w:hint="default"/>
      <w:sz w:val="18"/>
      <w:szCs w:val="18"/>
    </w:rPr>
  </w:style>
  <w:style w:type="character" w:customStyle="1" w:styleId="fontstyle01">
    <w:name w:val="fontstyle01"/>
    <w:basedOn w:val="a1"/>
    <w:rsid w:val="002A1172"/>
    <w:rPr>
      <w:rFonts w:ascii="Arial-ItalicMT" w:hAnsi="Arial-ItalicMT" w:hint="default"/>
      <w:b w:val="0"/>
      <w:bCs w:val="0"/>
      <w:i/>
      <w:iCs/>
      <w:color w:val="808080"/>
      <w:sz w:val="24"/>
      <w:szCs w:val="24"/>
    </w:rPr>
  </w:style>
  <w:style w:type="character" w:customStyle="1" w:styleId="fontstyle21">
    <w:name w:val="fontstyle21"/>
    <w:basedOn w:val="a1"/>
    <w:rsid w:val="00EE04E3"/>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919">
      <w:bodyDiv w:val="1"/>
      <w:marLeft w:val="0"/>
      <w:marRight w:val="0"/>
      <w:marTop w:val="0"/>
      <w:marBottom w:val="0"/>
      <w:divBdr>
        <w:top w:val="none" w:sz="0" w:space="0" w:color="auto"/>
        <w:left w:val="none" w:sz="0" w:space="0" w:color="auto"/>
        <w:bottom w:val="none" w:sz="0" w:space="0" w:color="auto"/>
        <w:right w:val="none" w:sz="0" w:space="0" w:color="auto"/>
      </w:divBdr>
    </w:div>
    <w:div w:id="286203175">
      <w:bodyDiv w:val="1"/>
      <w:marLeft w:val="0"/>
      <w:marRight w:val="0"/>
      <w:marTop w:val="0"/>
      <w:marBottom w:val="0"/>
      <w:divBdr>
        <w:top w:val="none" w:sz="0" w:space="0" w:color="auto"/>
        <w:left w:val="none" w:sz="0" w:space="0" w:color="auto"/>
        <w:bottom w:val="none" w:sz="0" w:space="0" w:color="auto"/>
        <w:right w:val="none" w:sz="0" w:space="0" w:color="auto"/>
      </w:divBdr>
    </w:div>
    <w:div w:id="407338770">
      <w:bodyDiv w:val="1"/>
      <w:marLeft w:val="0"/>
      <w:marRight w:val="0"/>
      <w:marTop w:val="0"/>
      <w:marBottom w:val="0"/>
      <w:divBdr>
        <w:top w:val="none" w:sz="0" w:space="0" w:color="auto"/>
        <w:left w:val="none" w:sz="0" w:space="0" w:color="auto"/>
        <w:bottom w:val="none" w:sz="0" w:space="0" w:color="auto"/>
        <w:right w:val="none" w:sz="0" w:space="0" w:color="auto"/>
      </w:divBdr>
    </w:div>
    <w:div w:id="444814861">
      <w:bodyDiv w:val="1"/>
      <w:marLeft w:val="0"/>
      <w:marRight w:val="0"/>
      <w:marTop w:val="0"/>
      <w:marBottom w:val="0"/>
      <w:divBdr>
        <w:top w:val="none" w:sz="0" w:space="0" w:color="auto"/>
        <w:left w:val="none" w:sz="0" w:space="0" w:color="auto"/>
        <w:bottom w:val="none" w:sz="0" w:space="0" w:color="auto"/>
        <w:right w:val="none" w:sz="0" w:space="0" w:color="auto"/>
      </w:divBdr>
    </w:div>
    <w:div w:id="1088041298">
      <w:bodyDiv w:val="1"/>
      <w:marLeft w:val="0"/>
      <w:marRight w:val="0"/>
      <w:marTop w:val="0"/>
      <w:marBottom w:val="0"/>
      <w:divBdr>
        <w:top w:val="none" w:sz="0" w:space="0" w:color="auto"/>
        <w:left w:val="none" w:sz="0" w:space="0" w:color="auto"/>
        <w:bottom w:val="none" w:sz="0" w:space="0" w:color="auto"/>
        <w:right w:val="none" w:sz="0" w:space="0" w:color="auto"/>
      </w:divBdr>
    </w:div>
    <w:div w:id="1168210399">
      <w:bodyDiv w:val="1"/>
      <w:marLeft w:val="0"/>
      <w:marRight w:val="0"/>
      <w:marTop w:val="0"/>
      <w:marBottom w:val="0"/>
      <w:divBdr>
        <w:top w:val="none" w:sz="0" w:space="0" w:color="auto"/>
        <w:left w:val="none" w:sz="0" w:space="0" w:color="auto"/>
        <w:bottom w:val="none" w:sz="0" w:space="0" w:color="auto"/>
        <w:right w:val="none" w:sz="0" w:space="0" w:color="auto"/>
      </w:divBdr>
    </w:div>
    <w:div w:id="1217013918">
      <w:bodyDiv w:val="1"/>
      <w:marLeft w:val="0"/>
      <w:marRight w:val="0"/>
      <w:marTop w:val="0"/>
      <w:marBottom w:val="0"/>
      <w:divBdr>
        <w:top w:val="none" w:sz="0" w:space="0" w:color="auto"/>
        <w:left w:val="none" w:sz="0" w:space="0" w:color="auto"/>
        <w:bottom w:val="none" w:sz="0" w:space="0" w:color="auto"/>
        <w:right w:val="none" w:sz="0" w:space="0" w:color="auto"/>
      </w:divBdr>
    </w:div>
    <w:div w:id="1376469923">
      <w:bodyDiv w:val="1"/>
      <w:marLeft w:val="0"/>
      <w:marRight w:val="0"/>
      <w:marTop w:val="0"/>
      <w:marBottom w:val="0"/>
      <w:divBdr>
        <w:top w:val="none" w:sz="0" w:space="0" w:color="auto"/>
        <w:left w:val="none" w:sz="0" w:space="0" w:color="auto"/>
        <w:bottom w:val="none" w:sz="0" w:space="0" w:color="auto"/>
        <w:right w:val="none" w:sz="0" w:space="0" w:color="auto"/>
      </w:divBdr>
    </w:div>
    <w:div w:id="1383366650">
      <w:bodyDiv w:val="1"/>
      <w:marLeft w:val="0"/>
      <w:marRight w:val="0"/>
      <w:marTop w:val="0"/>
      <w:marBottom w:val="0"/>
      <w:divBdr>
        <w:top w:val="none" w:sz="0" w:space="0" w:color="auto"/>
        <w:left w:val="none" w:sz="0" w:space="0" w:color="auto"/>
        <w:bottom w:val="none" w:sz="0" w:space="0" w:color="auto"/>
        <w:right w:val="none" w:sz="0" w:space="0" w:color="auto"/>
      </w:divBdr>
    </w:div>
    <w:div w:id="1441609743">
      <w:bodyDiv w:val="1"/>
      <w:marLeft w:val="0"/>
      <w:marRight w:val="0"/>
      <w:marTop w:val="0"/>
      <w:marBottom w:val="0"/>
      <w:divBdr>
        <w:top w:val="none" w:sz="0" w:space="0" w:color="auto"/>
        <w:left w:val="none" w:sz="0" w:space="0" w:color="auto"/>
        <w:bottom w:val="none" w:sz="0" w:space="0" w:color="auto"/>
        <w:right w:val="none" w:sz="0" w:space="0" w:color="auto"/>
      </w:divBdr>
    </w:div>
    <w:div w:id="1563371892">
      <w:bodyDiv w:val="1"/>
      <w:marLeft w:val="0"/>
      <w:marRight w:val="0"/>
      <w:marTop w:val="0"/>
      <w:marBottom w:val="0"/>
      <w:divBdr>
        <w:top w:val="none" w:sz="0" w:space="0" w:color="auto"/>
        <w:left w:val="none" w:sz="0" w:space="0" w:color="auto"/>
        <w:bottom w:val="none" w:sz="0" w:space="0" w:color="auto"/>
        <w:right w:val="none" w:sz="0" w:space="0" w:color="auto"/>
      </w:divBdr>
    </w:div>
    <w:div w:id="1579485520">
      <w:bodyDiv w:val="1"/>
      <w:marLeft w:val="0"/>
      <w:marRight w:val="0"/>
      <w:marTop w:val="0"/>
      <w:marBottom w:val="0"/>
      <w:divBdr>
        <w:top w:val="none" w:sz="0" w:space="0" w:color="auto"/>
        <w:left w:val="none" w:sz="0" w:space="0" w:color="auto"/>
        <w:bottom w:val="none" w:sz="0" w:space="0" w:color="auto"/>
        <w:right w:val="none" w:sz="0" w:space="0" w:color="auto"/>
      </w:divBdr>
    </w:div>
    <w:div w:id="1629627779">
      <w:bodyDiv w:val="1"/>
      <w:marLeft w:val="0"/>
      <w:marRight w:val="0"/>
      <w:marTop w:val="0"/>
      <w:marBottom w:val="0"/>
      <w:divBdr>
        <w:top w:val="none" w:sz="0" w:space="0" w:color="auto"/>
        <w:left w:val="none" w:sz="0" w:space="0" w:color="auto"/>
        <w:bottom w:val="none" w:sz="0" w:space="0" w:color="auto"/>
        <w:right w:val="none" w:sz="0" w:space="0" w:color="auto"/>
      </w:divBdr>
    </w:div>
    <w:div w:id="1666859607">
      <w:bodyDiv w:val="1"/>
      <w:marLeft w:val="0"/>
      <w:marRight w:val="0"/>
      <w:marTop w:val="0"/>
      <w:marBottom w:val="0"/>
      <w:divBdr>
        <w:top w:val="none" w:sz="0" w:space="0" w:color="auto"/>
        <w:left w:val="none" w:sz="0" w:space="0" w:color="auto"/>
        <w:bottom w:val="none" w:sz="0" w:space="0" w:color="auto"/>
        <w:right w:val="none" w:sz="0" w:space="0" w:color="auto"/>
      </w:divBdr>
    </w:div>
    <w:div w:id="2056467812">
      <w:bodyDiv w:val="1"/>
      <w:marLeft w:val="0"/>
      <w:marRight w:val="0"/>
      <w:marTop w:val="0"/>
      <w:marBottom w:val="0"/>
      <w:divBdr>
        <w:top w:val="none" w:sz="0" w:space="0" w:color="auto"/>
        <w:left w:val="none" w:sz="0" w:space="0" w:color="auto"/>
        <w:bottom w:val="none" w:sz="0" w:space="0" w:color="auto"/>
        <w:right w:val="none" w:sz="0" w:space="0" w:color="auto"/>
      </w:divBdr>
    </w:div>
    <w:div w:id="211153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british-business-bank.co.uk/export-fin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C615A-6D2F-49B5-839C-955C188A5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1829</TotalTime>
  <Pages>45</Pages>
  <Words>11185</Words>
  <Characters>63758</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59</cp:revision>
  <cp:lastPrinted>2024-01-03T11:23:00Z</cp:lastPrinted>
  <dcterms:created xsi:type="dcterms:W3CDTF">2024-03-11T22:37:00Z</dcterms:created>
  <dcterms:modified xsi:type="dcterms:W3CDTF">2024-03-15T05:14:00Z</dcterms:modified>
</cp:coreProperties>
</file>